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广丰区中医院拟采购的皮肤科设备（预算价46万元）等</w:t>
      </w:r>
      <w:r>
        <w:rPr>
          <w:rFonts w:hint="eastAsia" w:ascii="仿宋" w:hAnsi="仿宋" w:eastAsia="仿宋" w:cs="仿宋"/>
          <w:color w:val="auto"/>
          <w:sz w:val="32"/>
          <w:szCs w:val="32"/>
          <w:lang w:eastAsia="zh-CN"/>
        </w:rPr>
        <w:t>设备项目进行公开询价。本次公开征询情况将作为采购人编制政府采购招标文件最高限价、主要技术指标及配置的参考依据，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LED光谱治疗仪</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val="0"/>
              <w:kinsoku/>
              <w:overflowPunct/>
              <w:topLinePunct w:val="0"/>
              <w:autoSpaceDE/>
              <w:autoSpaceDN/>
              <w:bidi w:val="0"/>
              <w:adjustRightInd w:val="0"/>
              <w:snapToGrid w:val="0"/>
              <w:spacing w:line="312" w:lineRule="auto"/>
              <w:jc w:val="both"/>
              <w:rPr>
                <w:rFonts w:hint="eastAsia" w:ascii="宋体" w:hAnsi="宋体" w:eastAsia="宋体" w:cs="宋体"/>
                <w:b/>
                <w:bCs/>
                <w:color w:val="000000"/>
                <w:sz w:val="28"/>
                <w:szCs w:val="28"/>
                <w:lang w:eastAsia="zh-CN"/>
              </w:rPr>
            </w:pPr>
            <w:r>
              <w:rPr>
                <w:rFonts w:hint="eastAsia" w:ascii="宋体" w:hAnsi="宋体" w:cs="Arial"/>
                <w:color w:val="000000"/>
                <w:sz w:val="28"/>
                <w:szCs w:val="28"/>
              </w:rPr>
              <w:t xml:space="preserve">   </w:t>
            </w:r>
            <w:r>
              <w:rPr>
                <w:rFonts w:hint="eastAsia" w:ascii="宋体" w:hAnsi="宋体" w:cs="宋体"/>
                <w:b/>
                <w:bCs/>
                <w:color w:val="000000"/>
                <w:sz w:val="28"/>
                <w:szCs w:val="28"/>
                <w:lang w:val="en-US" w:eastAsia="zh-CN"/>
              </w:rPr>
              <w:t xml:space="preserve">LED光谱治疗仪 </w:t>
            </w:r>
            <w:r>
              <w:rPr>
                <w:rFonts w:hint="eastAsia" w:ascii="宋体" w:hAnsi="宋体" w:eastAsia="宋体" w:cs="宋体"/>
                <w:b/>
                <w:bCs/>
                <w:color w:val="000000"/>
                <w:sz w:val="28"/>
                <w:szCs w:val="28"/>
                <w:lang w:eastAsia="zh-CN"/>
              </w:rPr>
              <w:t>技术</w:t>
            </w:r>
            <w:r>
              <w:rPr>
                <w:rFonts w:hint="eastAsia" w:ascii="宋体" w:hAnsi="宋体" w:cs="宋体"/>
                <w:b/>
                <w:bCs/>
                <w:color w:val="000000"/>
                <w:sz w:val="28"/>
                <w:szCs w:val="28"/>
                <w:lang w:val="en-US" w:eastAsia="zh-CN"/>
              </w:rPr>
              <w:t>参数</w:t>
            </w:r>
          </w:p>
          <w:p>
            <w:pPr>
              <w:keepNext w:val="0"/>
              <w:keepLines w:val="0"/>
              <w:pageBreakBefore w:val="0"/>
              <w:widowControl w:val="0"/>
              <w:kinsoku/>
              <w:overflowPunct/>
              <w:topLinePunct w:val="0"/>
              <w:autoSpaceDE/>
              <w:autoSpaceDN/>
              <w:bidi w:val="0"/>
              <w:adjustRightInd w:val="0"/>
              <w:snapToGrid w:val="0"/>
              <w:spacing w:line="312" w:lineRule="auto"/>
              <w:rPr>
                <w:rFonts w:hint="default" w:ascii="宋体" w:hAnsi="宋体" w:cs="宋体"/>
                <w:sz w:val="24"/>
                <w:szCs w:val="24"/>
                <w:lang w:val="en-US"/>
              </w:rPr>
            </w:pPr>
          </w:p>
          <w:p>
            <w:pPr>
              <w:keepNext w:val="0"/>
              <w:keepLines w:val="0"/>
              <w:pageBreakBefore w:val="0"/>
              <w:widowControl w:val="0"/>
              <w:kinsoku/>
              <w:overflowPunct/>
              <w:topLinePunct w:val="0"/>
              <w:autoSpaceDE/>
              <w:autoSpaceDN/>
              <w:bidi w:val="0"/>
              <w:adjustRightInd w:val="0"/>
              <w:snapToGrid w:val="0"/>
              <w:spacing w:line="312"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1、治疗头</w:t>
            </w:r>
            <w:r>
              <w:rPr>
                <w:rFonts w:hint="eastAsia" w:ascii="宋体" w:hAnsi="宋体" w:cs="宋体"/>
                <w:color w:val="000000"/>
                <w:sz w:val="24"/>
                <w:szCs w:val="24"/>
                <w:lang w:val="en-US" w:eastAsia="zh-CN"/>
              </w:rPr>
              <w:t>LED</w:t>
            </w:r>
            <w:r>
              <w:rPr>
                <w:rFonts w:hint="eastAsia" w:ascii="宋体" w:hAnsi="宋体" w:eastAsia="宋体" w:cs="宋体"/>
                <w:color w:val="000000"/>
                <w:sz w:val="24"/>
                <w:szCs w:val="24"/>
                <w:lang w:eastAsia="zh-CN"/>
              </w:rPr>
              <w:t>光源：红光、蓝光、</w:t>
            </w:r>
            <w:r>
              <w:rPr>
                <w:rFonts w:hint="eastAsia" w:ascii="宋体" w:hAnsi="宋体" w:cs="宋体"/>
                <w:color w:val="000000"/>
                <w:sz w:val="24"/>
                <w:szCs w:val="24"/>
                <w:lang w:val="en-US" w:eastAsia="zh-CN"/>
              </w:rPr>
              <w:t>黄光，</w:t>
            </w:r>
            <w:r>
              <w:rPr>
                <w:rFonts w:hint="eastAsia" w:ascii="宋体" w:hAnsi="宋体" w:eastAsia="宋体" w:cs="宋体"/>
                <w:color w:val="000000"/>
                <w:sz w:val="24"/>
                <w:szCs w:val="24"/>
              </w:rPr>
              <w:t>半导体固态冷光源</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点阵集成芯片</w:t>
            </w:r>
            <w:r>
              <w:rPr>
                <w:rFonts w:hint="eastAsia" w:ascii="宋体" w:hAnsi="宋体" w:eastAsia="宋体" w:cs="宋体"/>
                <w:color w:val="000000"/>
                <w:sz w:val="24"/>
                <w:szCs w:val="24"/>
              </w:rPr>
              <w:t>；</w:t>
            </w:r>
          </w:p>
          <w:p>
            <w:pPr>
              <w:keepNext w:val="0"/>
              <w:keepLines w:val="0"/>
              <w:pageBreakBefore w:val="0"/>
              <w:widowControl w:val="0"/>
              <w:kinsoku/>
              <w:overflowPunct/>
              <w:topLinePunct w:val="0"/>
              <w:autoSpaceDE/>
              <w:autoSpaceDN/>
              <w:bidi w:val="0"/>
              <w:adjustRightInd w:val="0"/>
              <w:snapToGrid w:val="0"/>
              <w:spacing w:line="312"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2、输出波长：</w:t>
            </w:r>
            <w:r>
              <w:rPr>
                <w:rFonts w:hint="eastAsia" w:ascii="宋体" w:hAnsi="宋体" w:cs="宋体"/>
                <w:color w:val="000000"/>
                <w:sz w:val="24"/>
                <w:szCs w:val="24"/>
                <w:lang w:val="en-US" w:eastAsia="zh-CN"/>
              </w:rPr>
              <w:t>中心</w:t>
            </w:r>
            <w:r>
              <w:rPr>
                <w:rFonts w:hint="eastAsia" w:ascii="宋体" w:hAnsi="宋体" w:eastAsia="宋体" w:cs="宋体"/>
                <w:color w:val="000000"/>
                <w:sz w:val="24"/>
                <w:szCs w:val="24"/>
                <w:lang w:val="en-US" w:eastAsia="zh-CN"/>
              </w:rPr>
              <w:t>波长：808nm</w:t>
            </w:r>
            <w:r>
              <w:rPr>
                <w:rFonts w:hint="eastAsia" w:ascii="宋体" w:hAnsi="宋体" w:eastAsia="宋体" w:cs="宋体"/>
                <w:color w:val="000000"/>
                <w:sz w:val="24"/>
                <w:szCs w:val="24"/>
                <w:lang w:eastAsia="zh-CN"/>
              </w:rPr>
              <w:t xml:space="preserve">±10nm </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红光：640</w:t>
            </w:r>
            <w:r>
              <w:rPr>
                <w:rFonts w:hint="eastAsia" w:ascii="宋体" w:hAnsi="宋体" w:eastAsia="宋体" w:cs="宋体"/>
                <w:color w:val="000000"/>
                <w:sz w:val="24"/>
                <w:szCs w:val="24"/>
                <w:lang w:val="en-US" w:eastAsia="zh-CN"/>
              </w:rPr>
              <w:t>nm</w:t>
            </w:r>
            <w:r>
              <w:rPr>
                <w:rFonts w:hint="eastAsia" w:ascii="宋体" w:hAnsi="宋体" w:eastAsia="宋体" w:cs="宋体"/>
                <w:color w:val="000000"/>
                <w:sz w:val="24"/>
                <w:szCs w:val="24"/>
                <w:lang w:eastAsia="zh-CN"/>
              </w:rPr>
              <w:t>±10nm ; 蓝光：410</w:t>
            </w:r>
            <w:r>
              <w:rPr>
                <w:rFonts w:hint="eastAsia" w:ascii="宋体" w:hAnsi="宋体" w:eastAsia="宋体" w:cs="宋体"/>
                <w:color w:val="000000"/>
                <w:sz w:val="24"/>
                <w:szCs w:val="24"/>
                <w:lang w:val="en-US" w:eastAsia="zh-CN"/>
              </w:rPr>
              <w:t>nm</w:t>
            </w:r>
            <w:r>
              <w:rPr>
                <w:rFonts w:hint="eastAsia" w:ascii="宋体" w:hAnsi="宋体" w:eastAsia="宋体" w:cs="宋体"/>
                <w:color w:val="000000"/>
                <w:sz w:val="24"/>
                <w:szCs w:val="24"/>
                <w:lang w:eastAsia="zh-CN"/>
              </w:rPr>
              <w:t>±10nm</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黄</w:t>
            </w:r>
            <w:r>
              <w:rPr>
                <w:rFonts w:hint="eastAsia" w:ascii="宋体" w:hAnsi="宋体" w:eastAsia="宋体" w:cs="宋体"/>
                <w:color w:val="000000"/>
                <w:sz w:val="24"/>
                <w:szCs w:val="24"/>
                <w:lang w:eastAsia="zh-CN"/>
              </w:rPr>
              <w:t>光：</w:t>
            </w:r>
            <w:r>
              <w:rPr>
                <w:rFonts w:hint="eastAsia" w:ascii="宋体" w:hAnsi="宋体" w:cs="宋体"/>
                <w:color w:val="000000"/>
                <w:sz w:val="24"/>
                <w:szCs w:val="24"/>
                <w:lang w:val="en-US" w:eastAsia="zh-CN"/>
              </w:rPr>
              <w:t>59</w:t>
            </w:r>
            <w:r>
              <w:rPr>
                <w:rFonts w:hint="eastAsia" w:ascii="宋体" w:hAnsi="宋体" w:eastAsia="宋体" w:cs="宋体"/>
                <w:color w:val="000000"/>
                <w:sz w:val="24"/>
                <w:szCs w:val="24"/>
                <w:lang w:eastAsia="zh-CN"/>
              </w:rPr>
              <w:t>0</w:t>
            </w:r>
            <w:r>
              <w:rPr>
                <w:rFonts w:hint="eastAsia" w:ascii="宋体" w:hAnsi="宋体" w:eastAsia="宋体" w:cs="宋体"/>
                <w:color w:val="000000"/>
                <w:sz w:val="24"/>
                <w:szCs w:val="24"/>
                <w:lang w:val="en-US" w:eastAsia="zh-CN"/>
              </w:rPr>
              <w:t>nm</w:t>
            </w:r>
            <w:r>
              <w:rPr>
                <w:rFonts w:hint="eastAsia" w:ascii="宋体" w:hAnsi="宋体" w:eastAsia="宋体" w:cs="宋体"/>
                <w:color w:val="000000"/>
                <w:sz w:val="24"/>
                <w:szCs w:val="24"/>
                <w:lang w:eastAsia="zh-CN"/>
              </w:rPr>
              <w:t>±10nm ;</w:t>
            </w:r>
            <w:r>
              <w:rPr>
                <w:rFonts w:hint="eastAsia" w:ascii="宋体" w:hAnsi="宋体" w:eastAsia="宋体" w:cs="宋体"/>
                <w:color w:val="000000"/>
                <w:sz w:val="24"/>
                <w:szCs w:val="24"/>
              </w:rPr>
              <w:t>具有光色纯度高、光源强、能量密度均匀等；</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w:t>
            </w:r>
            <w:r>
              <w:rPr>
                <w:rFonts w:hint="eastAsia" w:ascii="宋体" w:hAnsi="宋体" w:eastAsia="宋体" w:cs="宋体"/>
                <w:color w:val="auto"/>
                <w:sz w:val="24"/>
                <w:szCs w:val="24"/>
                <w:highlight w:val="none"/>
                <w:lang w:val="en-US" w:eastAsia="zh-CN"/>
              </w:rPr>
              <w:t>治疗头点阵集成LED芯片数量</w:t>
            </w:r>
            <w:r>
              <w:rPr>
                <w:rFonts w:hint="eastAsia" w:ascii="宋体" w:hAnsi="宋体" w:eastAsia="宋体" w:cs="宋体"/>
                <w:color w:val="auto"/>
                <w:sz w:val="24"/>
                <w:szCs w:val="24"/>
                <w:highlight w:val="none"/>
              </w:rPr>
              <w:t>混合光</w:t>
            </w:r>
            <w:r>
              <w:rPr>
                <w:rFonts w:hint="eastAsia" w:ascii="宋体" w:hAnsi="宋体" w:eastAsia="宋体" w:cs="宋体"/>
                <w:color w:val="000000"/>
                <w:sz w:val="24"/>
                <w:szCs w:val="24"/>
                <w:lang w:eastAsia="zh-CN"/>
              </w:rPr>
              <w:t>≥</w:t>
            </w:r>
            <w:r>
              <w:rPr>
                <w:rFonts w:hint="eastAsia" w:ascii="宋体" w:hAnsi="宋体" w:eastAsia="宋体" w:cs="宋体"/>
                <w:color w:val="auto"/>
                <w:sz w:val="24"/>
                <w:szCs w:val="24"/>
                <w:highlight w:val="none"/>
              </w:rPr>
              <w:t>1470支</w:t>
            </w:r>
            <w:r>
              <w:rPr>
                <w:rFonts w:hint="eastAsia" w:ascii="宋体" w:hAnsi="宋体" w:eastAsia="宋体" w:cs="宋体"/>
                <w:color w:val="auto"/>
                <w:sz w:val="24"/>
                <w:szCs w:val="24"/>
                <w:highlight w:val="none"/>
                <w:lang w:eastAsia="zh-CN"/>
              </w:rPr>
              <w:t>；</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bCs/>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eastAsia="zh-CN"/>
              </w:rPr>
              <w:t>、光功率密度：红光≥1000mw/c㎡</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蓝光≥1000mw/c㎡；</w:t>
            </w:r>
            <w:r>
              <w:rPr>
                <w:rFonts w:hint="eastAsia" w:ascii="宋体" w:hAnsi="宋体" w:cs="宋体"/>
                <w:color w:val="000000"/>
                <w:sz w:val="24"/>
                <w:szCs w:val="24"/>
                <w:lang w:val="en-US" w:eastAsia="zh-CN"/>
              </w:rPr>
              <w:t>黄</w:t>
            </w:r>
            <w:r>
              <w:rPr>
                <w:rFonts w:hint="eastAsia" w:ascii="宋体" w:hAnsi="宋体" w:eastAsia="宋体" w:cs="宋体"/>
                <w:color w:val="000000"/>
                <w:sz w:val="24"/>
                <w:szCs w:val="24"/>
                <w:lang w:eastAsia="zh-CN"/>
              </w:rPr>
              <w:t>光≥1000mw/c㎡；</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光斑</w:t>
            </w:r>
            <w:r>
              <w:rPr>
                <w:rFonts w:hint="eastAsia" w:ascii="宋体" w:hAnsi="宋体" w:eastAsia="宋体" w:cs="宋体"/>
                <w:color w:val="000000"/>
                <w:sz w:val="24"/>
                <w:szCs w:val="24"/>
                <w:lang w:eastAsia="zh-CN"/>
              </w:rPr>
              <w:t>照射总面积</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≥1200cm2；</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eastAsia="zh-CN"/>
              </w:rPr>
              <w:t>、最大治疗深度：治疗仪最大治疗深度≥7cm；</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rPr>
              <w:t>操作界面</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中文菜单</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lang w:eastAsia="zh-CN"/>
              </w:rPr>
              <w:t>8.</w:t>
            </w:r>
            <w:r>
              <w:rPr>
                <w:rFonts w:hint="eastAsia" w:ascii="宋体" w:hAnsi="宋体" w:cs="宋体"/>
                <w:bCs/>
                <w:color w:val="000000"/>
                <w:sz w:val="24"/>
                <w:szCs w:val="24"/>
                <w:lang w:val="en-US" w:eastAsia="zh-CN"/>
              </w:rPr>
              <w:t>6</w:t>
            </w:r>
            <w:r>
              <w:rPr>
                <w:rFonts w:hint="eastAsia" w:ascii="宋体" w:hAnsi="宋体" w:eastAsia="宋体" w:cs="宋体"/>
                <w:bCs/>
                <w:color w:val="000000"/>
                <w:sz w:val="24"/>
                <w:szCs w:val="24"/>
                <w:lang w:eastAsia="zh-CN"/>
              </w:rPr>
              <w:t>寸液晶彩色触摸显示屏,微电脑控</w:t>
            </w:r>
            <w:r>
              <w:rPr>
                <w:rFonts w:hint="eastAsia" w:ascii="宋体" w:hAnsi="宋体" w:eastAsia="宋体" w:cs="宋体"/>
                <w:bCs/>
                <w:color w:val="000000"/>
                <w:sz w:val="24"/>
                <w:szCs w:val="24"/>
                <w:lang w:val="en-US" w:eastAsia="zh-CN"/>
              </w:rPr>
              <w:t>制；</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eastAsia="zh-CN"/>
              </w:rPr>
              <w:t>、能量调节方式:</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级剂量能量调节；</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具有0</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99分钟定时随意设定功能</w:t>
            </w:r>
            <w:r>
              <w:rPr>
                <w:rFonts w:hint="eastAsia" w:ascii="宋体" w:hAnsi="宋体" w:eastAsia="宋体" w:cs="宋体"/>
                <w:color w:val="000000"/>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lang w:eastAsia="zh-CN"/>
              </w:rPr>
              <w:t>、故障自诊断报警功能；</w:t>
            </w:r>
          </w:p>
          <w:p>
            <w:pPr>
              <w:keepNext w:val="0"/>
              <w:keepLines w:val="0"/>
              <w:pageBreakBefore w:val="0"/>
              <w:widowControl w:val="0"/>
              <w:kinsoku/>
              <w:overflowPunct/>
              <w:topLinePunct w:val="0"/>
              <w:autoSpaceDE/>
              <w:autoSpaceDN/>
              <w:bidi w:val="0"/>
              <w:adjustRightInd w:val="0"/>
              <w:snapToGrid w:val="0"/>
              <w:spacing w:line="312" w:lineRule="auto"/>
              <w:ind w:left="330" w:hanging="360" w:hangingChars="15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1</w:t>
            </w:r>
            <w:r>
              <w:rPr>
                <w:rFonts w:hint="eastAsia" w:ascii="宋体" w:hAnsi="宋体" w:cs="宋体"/>
                <w:bCs/>
                <w:color w:val="000000"/>
                <w:sz w:val="24"/>
                <w:szCs w:val="24"/>
                <w:lang w:val="en-US" w:eastAsia="zh-CN"/>
              </w:rPr>
              <w:t>1</w:t>
            </w:r>
            <w:r>
              <w:rPr>
                <w:rFonts w:hint="eastAsia" w:ascii="宋体" w:hAnsi="宋体" w:eastAsia="宋体" w:cs="宋体"/>
                <w:bCs/>
                <w:color w:val="000000"/>
                <w:sz w:val="24"/>
                <w:szCs w:val="24"/>
                <w:lang w:eastAsia="zh-CN"/>
              </w:rPr>
              <w:t>、治疗器支架臂可在0-360度旋转，升降范围0-50cm。  治疗头0-</w:t>
            </w:r>
            <w:r>
              <w:rPr>
                <w:rFonts w:hint="eastAsia" w:ascii="宋体" w:hAnsi="宋体" w:eastAsia="宋体" w:cs="宋体"/>
                <w:bCs/>
                <w:color w:val="000000"/>
                <w:sz w:val="24"/>
                <w:szCs w:val="24"/>
                <w:lang w:val="en-US" w:eastAsia="zh-CN"/>
              </w:rPr>
              <w:t>18</w:t>
            </w:r>
            <w:r>
              <w:rPr>
                <w:rFonts w:hint="eastAsia" w:ascii="宋体" w:hAnsi="宋体" w:eastAsia="宋体" w:cs="宋体"/>
                <w:bCs/>
                <w:color w:val="000000"/>
                <w:sz w:val="24"/>
                <w:szCs w:val="24"/>
                <w:lang w:eastAsia="zh-CN"/>
              </w:rPr>
              <w:t>0度旋转上</w:t>
            </w:r>
          </w:p>
          <w:p>
            <w:pPr>
              <w:keepNext w:val="0"/>
              <w:keepLines w:val="0"/>
              <w:pageBreakBefore w:val="0"/>
              <w:widowControl w:val="0"/>
              <w:kinsoku/>
              <w:overflowPunct/>
              <w:topLinePunct w:val="0"/>
              <w:autoSpaceDE/>
              <w:autoSpaceDN/>
              <w:bidi w:val="0"/>
              <w:adjustRightInd w:val="0"/>
              <w:snapToGrid w:val="0"/>
              <w:spacing w:line="312" w:lineRule="auto"/>
              <w:ind w:left="330" w:hanging="360" w:hangingChars="150"/>
              <w:textAlignment w:val="auto"/>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lang w:eastAsia="zh-CN"/>
              </w:rPr>
              <w:t>下左右调节角度；</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eastAsia="zh-CN"/>
              </w:rPr>
              <w:t>、照射方</w:t>
            </w:r>
            <w:r>
              <w:rPr>
                <w:rFonts w:hint="eastAsia" w:ascii="宋体" w:hAnsi="宋体" w:eastAsia="宋体" w:cs="宋体"/>
                <w:color w:val="000000"/>
                <w:sz w:val="24"/>
                <w:szCs w:val="24"/>
              </w:rPr>
              <w:t>式；连续、</w:t>
            </w:r>
            <w:r>
              <w:rPr>
                <w:rFonts w:hint="eastAsia" w:ascii="宋体" w:hAnsi="宋体" w:eastAsia="宋体" w:cs="宋体"/>
                <w:color w:val="000000"/>
                <w:sz w:val="24"/>
                <w:szCs w:val="24"/>
                <w:lang w:eastAsia="zh-CN"/>
              </w:rPr>
              <w:t>脉冲照射治疗可选；</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eastAsia="zh-CN"/>
              </w:rPr>
              <w:t>、产品结构</w:t>
            </w:r>
            <w:r>
              <w:rPr>
                <w:rFonts w:hint="eastAsia" w:ascii="宋体" w:hAnsi="宋体" w:eastAsia="宋体" w:cs="宋体"/>
                <w:color w:val="000000"/>
                <w:sz w:val="24"/>
                <w:szCs w:val="24"/>
              </w:rPr>
              <w:t>；落地推车式</w:t>
            </w:r>
            <w:r>
              <w:rPr>
                <w:rFonts w:hint="eastAsia" w:ascii="宋体" w:hAnsi="宋体" w:eastAsia="宋体" w:cs="宋体"/>
                <w:color w:val="000000"/>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14</w:t>
            </w:r>
            <w:r>
              <w:rPr>
                <w:rFonts w:hint="eastAsia" w:ascii="宋体" w:hAnsi="宋体" w:eastAsia="宋体" w:cs="宋体"/>
                <w:color w:val="000000"/>
                <w:sz w:val="24"/>
                <w:szCs w:val="24"/>
                <w:lang w:eastAsia="zh-CN"/>
              </w:rPr>
              <w:t>、治疗头外壳温度：≤45</w:t>
            </w:r>
            <w:r>
              <w:rPr>
                <w:rFonts w:hint="eastAsia" w:ascii="宋体" w:hAnsi="宋体" w:cs="宋体"/>
                <w:color w:val="000000"/>
                <w:sz w:val="24"/>
                <w:szCs w:val="24"/>
                <w:lang w:val="en-US" w:eastAsia="zh-CN"/>
              </w:rPr>
              <w:t>度</w:t>
            </w:r>
            <w:r>
              <w:rPr>
                <w:rFonts w:hint="eastAsia" w:ascii="宋体" w:hAnsi="宋体" w:eastAsia="宋体" w:cs="宋体"/>
                <w:color w:val="000000"/>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cs="宋体"/>
                <w:color w:val="000000"/>
                <w:kern w:val="0"/>
                <w:sz w:val="24"/>
                <w:szCs w:val="24"/>
                <w:lang w:bidi="ar"/>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安全控制</w:t>
            </w:r>
            <w:r>
              <w:rPr>
                <w:rFonts w:hint="eastAsia" w:ascii="宋体" w:hAnsi="宋体" w:cs="宋体"/>
                <w:color w:val="000000"/>
                <w:sz w:val="24"/>
                <w:szCs w:val="24"/>
                <w:lang w:val="en-US" w:eastAsia="zh-CN"/>
              </w:rPr>
              <w:t>系统</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具备</w:t>
            </w:r>
            <w:r>
              <w:rPr>
                <w:rFonts w:hint="eastAsia" w:ascii="宋体" w:hAnsi="宋体" w:eastAsia="宋体" w:cs="宋体"/>
                <w:color w:val="000000"/>
                <w:sz w:val="24"/>
                <w:szCs w:val="24"/>
              </w:rPr>
              <w:t>急停开关，电源带锁开</w:t>
            </w:r>
            <w:r>
              <w:rPr>
                <w:rFonts w:hint="eastAsia" w:ascii="宋体" w:hAnsi="宋体" w:eastAsia="宋体" w:cs="宋体"/>
                <w:color w:val="000000"/>
                <w:sz w:val="24"/>
                <w:szCs w:val="24"/>
                <w:lang w:eastAsia="zh-CN"/>
              </w:rPr>
              <w:t>关</w:t>
            </w:r>
            <w:r>
              <w:rPr>
                <w:rFonts w:hint="eastAsia" w:ascii="宋体" w:hAnsi="宋体" w:cs="宋体"/>
                <w:color w:val="000000"/>
                <w:sz w:val="24"/>
                <w:szCs w:val="24"/>
                <w:lang w:val="en-US" w:eastAsia="zh-CN"/>
              </w:rPr>
              <w:t>两种控制方式</w:t>
            </w:r>
            <w:r>
              <w:rPr>
                <w:rFonts w:hint="eastAsia" w:ascii="宋体" w:hAnsi="宋体" w:eastAsia="宋体" w:cs="宋体"/>
                <w:color w:val="000000"/>
                <w:sz w:val="24"/>
                <w:szCs w:val="24"/>
                <w:lang w:eastAsia="zh-CN"/>
              </w:rPr>
              <w:t>；</w:t>
            </w:r>
          </w:p>
          <w:p>
            <w:pPr>
              <w:tabs>
                <w:tab w:val="left" w:pos="2492"/>
              </w:tabs>
              <w:spacing w:line="400" w:lineRule="exact"/>
              <w:rPr>
                <w:rFonts w:hint="eastAsia" w:ascii="宋体" w:hAnsi="宋体" w:cs="宋体"/>
                <w:kern w:val="0"/>
                <w:sz w:val="28"/>
                <w:szCs w:val="28"/>
                <w:lang w:val="zh-CN"/>
              </w:rPr>
            </w:pPr>
          </w:p>
          <w:p>
            <w:pPr>
              <w:keepNext w:val="0"/>
              <w:keepLines w:val="0"/>
              <w:pageBreakBefore w:val="0"/>
              <w:kinsoku/>
              <w:overflowPunct/>
              <w:topLinePunct w:val="0"/>
              <w:autoSpaceDE/>
              <w:autoSpaceDN/>
              <w:bidi w:val="0"/>
              <w:adjustRightInd/>
              <w:snapToGrid w:val="0"/>
              <w:spacing w:line="560" w:lineRule="exact"/>
              <w:ind w:firstLine="672" w:firstLineChars="200"/>
              <w:rPr>
                <w:rFonts w:hint="eastAsia" w:ascii="仿宋" w:hAnsi="仿宋" w:eastAsia="仿宋" w:cs="仿宋"/>
                <w:color w:val="auto"/>
                <w:spacing w:val="8"/>
                <w:sz w:val="32"/>
                <w:szCs w:val="32"/>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紫外线光疗仪</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pPr>
              <w:spacing w:line="360" w:lineRule="auto"/>
              <w:jc w:val="both"/>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紫外线光疗仪</w:t>
            </w:r>
          </w:p>
          <w:p>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技术参数表</w:t>
            </w:r>
          </w:p>
          <w:p>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紫外线灯管</w:t>
            </w:r>
            <w:r>
              <w:rPr>
                <w:rFonts w:hint="eastAsia" w:ascii="宋体" w:hAnsi="宋体" w:eastAsia="宋体" w:cs="宋体"/>
                <w:b w:val="0"/>
                <w:bCs w:val="0"/>
                <w:color w:val="auto"/>
                <w:sz w:val="24"/>
                <w:szCs w:val="24"/>
              </w:rPr>
              <w:t>基本参数</w:t>
            </w:r>
            <w:r>
              <w:rPr>
                <w:rFonts w:hint="eastAsia" w:ascii="宋体" w:hAnsi="宋体" w:eastAsia="宋体" w:cs="宋体"/>
                <w:b w:val="0"/>
                <w:bCs w:val="0"/>
                <w:color w:val="auto"/>
                <w:sz w:val="24"/>
                <w:szCs w:val="24"/>
                <w:lang w:eastAsia="zh-CN"/>
              </w:rPr>
              <w:t>：</w:t>
            </w:r>
          </w:p>
          <w:p>
            <w:pPr>
              <w:spacing w:line="360" w:lineRule="auto"/>
              <w:ind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1.1</w:t>
            </w:r>
            <w:r>
              <w:rPr>
                <w:rFonts w:hint="eastAsia" w:ascii="宋体" w:hAnsi="宋体" w:eastAsia="宋体" w:cs="宋体"/>
                <w:b w:val="0"/>
                <w:bCs w:val="0"/>
                <w:color w:val="auto"/>
                <w:sz w:val="24"/>
                <w:szCs w:val="24"/>
                <w:lang w:eastAsia="zh-CN"/>
              </w:rPr>
              <w:t>医用紫外线灯管</w:t>
            </w:r>
            <w:r>
              <w:rPr>
                <w:rFonts w:hint="eastAsia" w:ascii="宋体" w:hAnsi="宋体" w:cs="宋体"/>
                <w:b w:val="0"/>
                <w:bCs w:val="0"/>
                <w:color w:val="auto"/>
                <w:sz w:val="24"/>
                <w:szCs w:val="24"/>
                <w:lang w:eastAsia="zh-CN"/>
              </w:rPr>
              <w:t>。</w:t>
            </w:r>
          </w:p>
          <w:p>
            <w:pPr>
              <w:spacing w:line="360" w:lineRule="auto"/>
              <w:ind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1.2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波长：</w:t>
            </w:r>
            <w:r>
              <w:rPr>
                <w:rFonts w:hint="eastAsia" w:ascii="宋体" w:hAnsi="宋体" w:eastAsia="宋体" w:cs="宋体"/>
                <w:b w:val="0"/>
                <w:bCs w:val="0"/>
                <w:color w:val="auto"/>
                <w:sz w:val="24"/>
                <w:szCs w:val="24"/>
                <w:lang w:val="en-US" w:eastAsia="zh-CN"/>
              </w:rPr>
              <w:t xml:space="preserve"> UVA：UVA</w:t>
            </w:r>
            <w:r>
              <w:rPr>
                <w:rFonts w:hint="eastAsia" w:ascii="宋体" w:hAnsi="宋体" w:eastAsia="宋体" w:cs="宋体"/>
                <w:b w:val="0"/>
                <w:bCs w:val="0"/>
                <w:color w:val="auto"/>
                <w:sz w:val="24"/>
                <w:szCs w:val="24"/>
              </w:rPr>
              <w:t>输出波长</w:t>
            </w:r>
            <w:r>
              <w:rPr>
                <w:rFonts w:hint="eastAsia" w:ascii="宋体" w:hAnsi="宋体" w:eastAsia="宋体" w:cs="宋体"/>
                <w:b w:val="0"/>
                <w:bCs w:val="0"/>
                <w:color w:val="auto"/>
                <w:sz w:val="24"/>
                <w:szCs w:val="24"/>
                <w:lang w:val="en-US" w:eastAsia="zh-CN"/>
              </w:rPr>
              <w:t>320-400</w:t>
            </w:r>
            <w:r>
              <w:rPr>
                <w:rFonts w:hint="eastAsia" w:ascii="宋体" w:hAnsi="宋体" w:eastAsia="宋体" w:cs="宋体"/>
                <w:b w:val="0"/>
                <w:bCs w:val="0"/>
                <w:color w:val="auto"/>
                <w:sz w:val="24"/>
                <w:szCs w:val="24"/>
              </w:rPr>
              <w:t>nm，峰值波长3</w:t>
            </w:r>
            <w:r>
              <w:rPr>
                <w:rFonts w:hint="eastAsia" w:ascii="宋体" w:hAnsi="宋体" w:eastAsia="宋体" w:cs="宋体"/>
                <w:b w:val="0"/>
                <w:bCs w:val="0"/>
                <w:color w:val="auto"/>
                <w:sz w:val="24"/>
                <w:szCs w:val="24"/>
                <w:lang w:val="en-US" w:eastAsia="zh-CN"/>
              </w:rPr>
              <w:t>68</w:t>
            </w:r>
            <w:r>
              <w:rPr>
                <w:rFonts w:hint="eastAsia" w:ascii="宋体" w:hAnsi="宋体" w:eastAsia="宋体" w:cs="宋体"/>
                <w:b w:val="0"/>
                <w:bCs w:val="0"/>
                <w:color w:val="auto"/>
                <w:sz w:val="24"/>
                <w:szCs w:val="24"/>
              </w:rPr>
              <w:t xml:space="preserve"> nm</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UVB：UVB</w:t>
            </w:r>
            <w:r>
              <w:rPr>
                <w:rFonts w:hint="eastAsia" w:ascii="宋体" w:hAnsi="宋体" w:eastAsia="宋体" w:cs="宋体"/>
                <w:b w:val="0"/>
                <w:bCs w:val="0"/>
                <w:color w:val="auto"/>
                <w:sz w:val="24"/>
                <w:szCs w:val="24"/>
              </w:rPr>
              <w:t>输出波长</w:t>
            </w:r>
            <w:r>
              <w:rPr>
                <w:rFonts w:hint="eastAsia" w:ascii="宋体" w:hAnsi="宋体" w:eastAsia="宋体" w:cs="宋体"/>
                <w:b w:val="0"/>
                <w:bCs w:val="0"/>
                <w:color w:val="auto"/>
                <w:sz w:val="24"/>
                <w:szCs w:val="24"/>
                <w:lang w:val="en-US" w:eastAsia="zh-CN"/>
              </w:rPr>
              <w:t>280-320</w:t>
            </w:r>
            <w:r>
              <w:rPr>
                <w:rFonts w:hint="eastAsia" w:ascii="宋体" w:hAnsi="宋体" w:eastAsia="宋体" w:cs="宋体"/>
                <w:b w:val="0"/>
                <w:bCs w:val="0"/>
                <w:color w:val="auto"/>
                <w:sz w:val="24"/>
                <w:szCs w:val="24"/>
              </w:rPr>
              <w:t>nm，峰值波长3</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 xml:space="preserve"> nm</w:t>
            </w:r>
            <w:r>
              <w:rPr>
                <w:rFonts w:hint="eastAsia" w:ascii="宋体" w:hAnsi="宋体" w:eastAsia="宋体" w:cs="宋体"/>
                <w:b w:val="0"/>
                <w:bCs w:val="0"/>
                <w:color w:val="auto"/>
                <w:sz w:val="24"/>
                <w:szCs w:val="24"/>
                <w:lang w:val="en-US" w:eastAsia="zh-CN"/>
              </w:rPr>
              <w:t>。</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1.3 </w:t>
            </w:r>
            <w:r>
              <w:rPr>
                <w:rFonts w:hint="eastAsia" w:ascii="宋体" w:hAnsi="宋体" w:eastAsia="宋体" w:cs="宋体"/>
                <w:b w:val="0"/>
                <w:bCs w:val="0"/>
                <w:color w:val="auto"/>
                <w:sz w:val="24"/>
                <w:szCs w:val="24"/>
                <w:lang w:eastAsia="zh-CN"/>
              </w:rPr>
              <w:t>辐照强度</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UVA：≥5.4mW/cm²，UVB：≥2.4mW/cm²。</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1.4紫外线辐照强度的误差应不大于±20%。</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1.5紫外线辐照强度的均匀性应不大于±20%。</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1.6紫外线辐照强度的稳定性不大于±20%</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辐射剂量：。UVA设置范围≤200J/cm2，误差应不大于±20%，UVB设置范围≤5J/cm2，误差应不大于±20%，</w:t>
            </w:r>
            <w:r>
              <w:rPr>
                <w:rFonts w:hint="eastAsia" w:ascii="宋体" w:hAnsi="宋体" w:eastAsia="宋体" w:cs="宋体"/>
                <w:b w:val="0"/>
                <w:bCs w:val="0"/>
                <w:color w:val="auto"/>
                <w:sz w:val="24"/>
                <w:szCs w:val="24"/>
              </w:rPr>
              <w:t>设置精度：0.01J/cm2。</w:t>
            </w:r>
          </w:p>
          <w:p>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辐射时间：UVA设置范围0~30min</w:t>
            </w:r>
            <w:r>
              <w:rPr>
                <w:rFonts w:hint="eastAsia" w:ascii="宋体" w:hAnsi="宋体" w:eastAsia="宋体" w:cs="宋体"/>
                <w:b w:val="0"/>
                <w:bCs w:val="0"/>
                <w:color w:val="auto"/>
                <w:sz w:val="24"/>
                <w:szCs w:val="24"/>
                <w:lang w:eastAsia="zh-CN"/>
              </w:rPr>
              <w:t>，连续可调，步长</w:t>
            </w:r>
            <w:r>
              <w:rPr>
                <w:rFonts w:hint="eastAsia" w:ascii="宋体" w:hAnsi="宋体" w:eastAsia="宋体" w:cs="宋体"/>
                <w:b w:val="0"/>
                <w:bCs w:val="0"/>
                <w:color w:val="auto"/>
                <w:sz w:val="24"/>
                <w:szCs w:val="24"/>
                <w:lang w:val="en-US" w:eastAsia="zh-CN"/>
              </w:rPr>
              <w:t>1S，</w:t>
            </w:r>
            <w:r>
              <w:rPr>
                <w:rFonts w:hint="eastAsia" w:ascii="宋体" w:hAnsi="宋体" w:eastAsia="宋体" w:cs="宋体"/>
                <w:b w:val="0"/>
                <w:bCs w:val="0"/>
                <w:color w:val="auto"/>
                <w:sz w:val="24"/>
                <w:szCs w:val="24"/>
                <w:lang w:eastAsia="zh-CN"/>
              </w:rPr>
              <w:t>误差</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p>
          <w:p>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3、控制</w:t>
            </w:r>
            <w:r>
              <w:rPr>
                <w:rFonts w:hint="eastAsia" w:ascii="宋体" w:hAnsi="宋体" w:eastAsia="宋体" w:cs="宋体"/>
                <w:b w:val="0"/>
                <w:bCs w:val="0"/>
                <w:color w:val="auto"/>
                <w:sz w:val="24"/>
                <w:szCs w:val="24"/>
              </w:rPr>
              <w:t>方式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微电脑≥5</w:t>
            </w:r>
            <w:r>
              <w:rPr>
                <w:rFonts w:hint="eastAsia" w:ascii="宋体" w:hAnsi="宋体" w:eastAsia="宋体" w:cs="宋体"/>
                <w:b w:val="0"/>
                <w:bCs w:val="0"/>
                <w:color w:val="auto"/>
                <w:sz w:val="24"/>
                <w:szCs w:val="24"/>
              </w:rPr>
              <w:t>寸彩色液晶</w:t>
            </w:r>
            <w:r>
              <w:rPr>
                <w:rFonts w:hint="eastAsia" w:ascii="宋体" w:hAnsi="宋体" w:eastAsia="宋体" w:cs="宋体"/>
                <w:b w:val="0"/>
                <w:bCs w:val="0"/>
                <w:color w:val="auto"/>
                <w:sz w:val="24"/>
                <w:szCs w:val="24"/>
                <w:lang w:val="en-US" w:eastAsia="zh-CN"/>
              </w:rPr>
              <w:t>全触摸屏</w:t>
            </w:r>
            <w:r>
              <w:rPr>
                <w:rFonts w:hint="eastAsia" w:ascii="宋体" w:hAnsi="宋体" w:eastAsia="宋体" w:cs="宋体"/>
                <w:b w:val="0"/>
                <w:bCs w:val="0"/>
                <w:color w:val="auto"/>
                <w:sz w:val="24"/>
                <w:szCs w:val="24"/>
              </w:rPr>
              <w:t>显示</w:t>
            </w:r>
            <w:r>
              <w:rPr>
                <w:rFonts w:hint="eastAsia" w:ascii="宋体" w:hAnsi="宋体" w:eastAsia="宋体" w:cs="宋体"/>
                <w:b w:val="0"/>
                <w:bCs w:val="0"/>
                <w:color w:val="auto"/>
                <w:sz w:val="24"/>
                <w:szCs w:val="24"/>
                <w:lang w:eastAsia="zh-CN"/>
              </w:rPr>
              <w:t>。</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4、灯管数量：UVA≥4支，UVB≥4支。</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5、受照面积：≥14420cm²。</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输入功率（VA）</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&lt;1000。</w:t>
            </w:r>
          </w:p>
          <w:p>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7、三种输出模式：UVA连续输出、UVB连续输出、 UVA+UVB连续输出；</w:t>
            </w:r>
            <w:r>
              <w:rPr>
                <w:rFonts w:hint="eastAsia" w:ascii="宋体" w:hAnsi="宋体" w:eastAsia="宋体" w:cs="宋体"/>
                <w:b w:val="0"/>
                <w:bCs w:val="0"/>
                <w:color w:val="auto"/>
                <w:sz w:val="24"/>
                <w:szCs w:val="24"/>
              </w:rPr>
              <w:t>治疗过程中，</w:t>
            </w:r>
            <w:r>
              <w:rPr>
                <w:rFonts w:hint="eastAsia" w:ascii="宋体" w:hAnsi="宋体" w:eastAsia="宋体" w:cs="宋体"/>
                <w:b w:val="0"/>
                <w:bCs w:val="0"/>
                <w:color w:val="auto"/>
                <w:sz w:val="24"/>
                <w:szCs w:val="24"/>
                <w:lang w:eastAsia="zh-CN"/>
              </w:rPr>
              <w:t>辐照强度、辐照剂量、照射时间</w:t>
            </w:r>
            <w:r>
              <w:rPr>
                <w:rFonts w:hint="eastAsia" w:ascii="宋体" w:hAnsi="宋体" w:eastAsia="宋体" w:cs="宋体"/>
                <w:b w:val="0"/>
                <w:bCs w:val="0"/>
                <w:color w:val="auto"/>
                <w:sz w:val="24"/>
                <w:szCs w:val="24"/>
              </w:rPr>
              <w:t>同步被显示</w:t>
            </w:r>
            <w:r>
              <w:rPr>
                <w:rFonts w:hint="eastAsia" w:ascii="宋体" w:hAnsi="宋体" w:eastAsia="宋体" w:cs="宋体"/>
                <w:b w:val="0"/>
                <w:bCs w:val="0"/>
                <w:color w:val="auto"/>
                <w:sz w:val="24"/>
                <w:szCs w:val="24"/>
                <w:lang w:eastAsia="zh-CN"/>
              </w:rPr>
              <w:t>。</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运行模式</w:t>
            </w:r>
            <w:r>
              <w:rPr>
                <w:rFonts w:hint="eastAsia" w:ascii="宋体" w:hAnsi="宋体" w:eastAsia="宋体" w:cs="宋体"/>
                <w:b w:val="0"/>
                <w:bCs w:val="0"/>
                <w:color w:val="auto"/>
                <w:sz w:val="24"/>
                <w:szCs w:val="24"/>
                <w:lang w:eastAsia="zh-CN"/>
              </w:rPr>
              <w:t>：连续运行。</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val="en-US" w:eastAsia="zh-CN"/>
              </w:rPr>
              <w:t>、结构形式：半舱。</w:t>
            </w:r>
          </w:p>
          <w:p>
            <w:pPr>
              <w:keepNext w:val="0"/>
              <w:keepLines w:val="0"/>
              <w:pageBreakBefore w:val="0"/>
              <w:kinsoku/>
              <w:overflowPunct/>
              <w:topLinePunct w:val="0"/>
              <w:autoSpaceDE/>
              <w:autoSpaceDN/>
              <w:bidi w:val="0"/>
              <w:adjustRightInd/>
              <w:snapToGrid w:val="0"/>
              <w:spacing w:line="560" w:lineRule="exact"/>
              <w:rPr>
                <w:rFonts w:hint="eastAsia" w:ascii="仿宋" w:hAnsi="仿宋" w:eastAsia="仿宋" w:cs="仿宋"/>
                <w:color w:val="auto"/>
                <w:spacing w:val="8"/>
                <w:sz w:val="32"/>
                <w:szCs w:val="32"/>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3</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强脉冲光治疗仪</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pacing w:line="400" w:lineRule="exact"/>
              <w:ind w:firstLine="2570" w:firstLineChars="800"/>
              <w:jc w:val="both"/>
              <w:textAlignment w:val="auto"/>
              <w:rPr>
                <w:rFonts w:hint="eastAsia" w:ascii="宋体" w:hAnsi="宋体" w:eastAsia="宋体" w:cs="宋体"/>
                <w:b/>
                <w:bCs/>
                <w:sz w:val="32"/>
                <w:szCs w:val="20"/>
                <w:lang w:val="en-US" w:eastAsia="zh-CN"/>
              </w:rPr>
            </w:pPr>
            <w:r>
              <w:rPr>
                <w:rFonts w:hint="eastAsia" w:ascii="宋体" w:hAnsi="宋体" w:eastAsia="宋体" w:cs="宋体"/>
                <w:b/>
                <w:bCs/>
                <w:sz w:val="32"/>
                <w:szCs w:val="20"/>
                <w:lang w:val="en-US" w:eastAsia="zh-CN"/>
              </w:rPr>
              <w:t>强脉冲光</w:t>
            </w:r>
            <w:r>
              <w:rPr>
                <w:rFonts w:hint="eastAsia" w:ascii="宋体" w:hAnsi="宋体" w:eastAsia="宋体" w:cs="宋体"/>
                <w:b/>
                <w:bCs/>
                <w:sz w:val="32"/>
                <w:szCs w:val="20"/>
              </w:rPr>
              <w:t>治疗</w:t>
            </w:r>
            <w:r>
              <w:rPr>
                <w:rFonts w:hint="eastAsia" w:ascii="宋体" w:hAnsi="宋体" w:eastAsia="宋体" w:cs="宋体"/>
                <w:b/>
                <w:bCs/>
                <w:sz w:val="32"/>
                <w:szCs w:val="20"/>
                <w:lang w:val="en-US" w:eastAsia="zh-CN"/>
              </w:rPr>
              <w:t>仪</w:t>
            </w:r>
          </w:p>
          <w:p>
            <w:pPr>
              <w:keepNext w:val="0"/>
              <w:keepLines w:val="0"/>
              <w:pageBreakBefore w:val="0"/>
              <w:kinsoku/>
              <w:wordWrap/>
              <w:overflowPunct/>
              <w:topLinePunct w:val="0"/>
              <w:autoSpaceDE/>
              <w:autoSpaceDN/>
              <w:bidi w:val="0"/>
              <w:adjustRightInd/>
              <w:spacing w:line="400" w:lineRule="exact"/>
              <w:ind w:firstLine="2560" w:firstLineChars="800"/>
              <w:jc w:val="both"/>
              <w:textAlignment w:val="auto"/>
              <w:rPr>
                <w:rFonts w:hint="eastAsia" w:ascii="宋体" w:hAnsi="宋体" w:eastAsia="宋体" w:cs="宋体"/>
                <w:b w:val="0"/>
                <w:bCs w:val="0"/>
                <w:sz w:val="32"/>
                <w:szCs w:val="20"/>
              </w:rPr>
            </w:pPr>
            <w:r>
              <w:rPr>
                <w:rFonts w:hint="eastAsia" w:ascii="宋体" w:hAnsi="宋体" w:eastAsia="宋体" w:cs="宋体"/>
                <w:b w:val="0"/>
                <w:bCs w:val="0"/>
                <w:sz w:val="32"/>
                <w:szCs w:val="20"/>
                <w:lang w:val="en-US" w:eastAsia="zh-CN"/>
              </w:rPr>
              <w:t xml:space="preserve">  </w:t>
            </w:r>
            <w:r>
              <w:rPr>
                <w:rFonts w:hint="eastAsia" w:ascii="宋体" w:hAnsi="宋体" w:eastAsia="宋体" w:cs="宋体"/>
                <w:b w:val="0"/>
                <w:bCs w:val="0"/>
                <w:sz w:val="32"/>
                <w:szCs w:val="20"/>
              </w:rPr>
              <w:t>技术参数</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光源：强脉冲光</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输入功率：≥3000VA；</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治疗头：一体式治疗头</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波长范围：430nm -1200nm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640nm—1200nm，560nm—1200nm；</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软件名称及操作系统：强脉冲光治疗仪嵌入式软件组件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光斑晶体面积：≥</w:t>
            </w:r>
            <w:r>
              <w:rPr>
                <w:rFonts w:hint="eastAsia" w:ascii="宋体" w:hAnsi="宋体" w:eastAsia="宋体" w:cs="宋体"/>
                <w:color w:val="auto"/>
                <w:sz w:val="24"/>
                <w:szCs w:val="24"/>
                <w:highlight w:val="none"/>
                <w:lang w:val="en-US" w:eastAsia="zh-CN"/>
              </w:rPr>
              <w:t>3.2c</w:t>
            </w:r>
            <w:r>
              <w:rPr>
                <w:rFonts w:hint="eastAsia" w:ascii="宋体" w:hAnsi="宋体" w:eastAsia="宋体" w:cs="宋体"/>
                <w:color w:val="auto"/>
                <w:sz w:val="24"/>
                <w:szCs w:val="24"/>
                <w:highlight w:val="none"/>
              </w:rPr>
              <w:t>m²</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能量密度调节：阶梯式调整 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-50档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步长1</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脉冲个数：脉冲个数≥</w:t>
            </w: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并且脉冲个数</w:t>
            </w:r>
            <w:r>
              <w:rPr>
                <w:rFonts w:hint="eastAsia" w:ascii="宋体" w:hAnsi="宋体" w:eastAsia="宋体" w:cs="宋体"/>
                <w:color w:val="auto"/>
                <w:sz w:val="24"/>
                <w:szCs w:val="24"/>
                <w:highlight w:val="none"/>
              </w:rPr>
              <w:t>独立可调</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9.单个脉冲能量密度：（单个脉冲个数能量≥15J/cm2）；</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脉冲宽度： 脉冲宽度可在 1ms～10ms 任意设置（调整步长 1ms）；</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脉冲间隔： 脉冲间隔可在 10ms～50ms 任意设置（调整步长 1ms）；</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操作系统：中</w:t>
            </w:r>
            <w:r>
              <w:rPr>
                <w:rFonts w:hint="eastAsia" w:ascii="宋体" w:hAnsi="宋体" w:eastAsia="宋体" w:cs="宋体"/>
                <w:color w:val="auto"/>
                <w:sz w:val="24"/>
                <w:szCs w:val="24"/>
                <w:highlight w:val="none"/>
                <w:lang w:val="en-US" w:eastAsia="zh-CN"/>
              </w:rPr>
              <w:t>文菜单，≥8.6</w:t>
            </w:r>
            <w:r>
              <w:rPr>
                <w:rFonts w:hint="eastAsia" w:ascii="宋体" w:hAnsi="宋体" w:eastAsia="宋体" w:cs="宋体"/>
                <w:color w:val="auto"/>
                <w:sz w:val="24"/>
                <w:szCs w:val="24"/>
                <w:highlight w:val="none"/>
              </w:rPr>
              <w:t>寸彩色液晶触摸显示屏；</w:t>
            </w:r>
          </w:p>
          <w:p>
            <w:pPr>
              <w:pStyle w:val="2"/>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13.治疗</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val="en-US" w:eastAsia="zh-CN"/>
              </w:rPr>
              <w:t>屏幕显示功能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开机具有</w:t>
            </w:r>
            <w:r>
              <w:rPr>
                <w:rFonts w:hint="eastAsia" w:ascii="宋体" w:hAnsi="宋体" w:eastAsia="宋体" w:cs="宋体"/>
                <w:color w:val="auto"/>
                <w:sz w:val="24"/>
                <w:szCs w:val="24"/>
                <w:highlight w:val="none"/>
              </w:rPr>
              <w:t>光子嫩肤、光子脱毛、光子祛色素、光子祛红血丝、光子治疗痤疮瘢痕、光子祛皱</w:t>
            </w:r>
            <w:r>
              <w:rPr>
                <w:rFonts w:hint="eastAsia" w:ascii="宋体" w:hAnsi="宋体" w:eastAsia="宋体" w:cs="宋体"/>
                <w:color w:val="auto"/>
                <w:sz w:val="24"/>
                <w:szCs w:val="24"/>
                <w:highlight w:val="none"/>
                <w:lang w:val="en-US" w:eastAsia="zh-CN"/>
              </w:rPr>
              <w:t>等功能显示</w:t>
            </w:r>
            <w:r>
              <w:rPr>
                <w:rFonts w:hint="eastAsia" w:ascii="宋体" w:hAnsi="宋体" w:eastAsia="宋体" w:cs="宋体"/>
                <w:color w:val="auto"/>
                <w:sz w:val="24"/>
                <w:szCs w:val="24"/>
                <w:highlight w:val="none"/>
              </w:rPr>
              <w:t>模块；</w:t>
            </w:r>
          </w:p>
          <w:p>
            <w:pPr>
              <w:pStyle w:val="2"/>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治疗方案设置：可预设三种治疗方案；</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.能量密度复现性≤土10%；</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.能量密度的均匀性应大于0.8；</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.独立可调脉冲串输出方式；</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工作方式：</w:t>
            </w:r>
            <w:r>
              <w:rPr>
                <w:rFonts w:hint="eastAsia" w:ascii="宋体" w:hAnsi="宋体" w:eastAsia="宋体" w:cs="宋体"/>
                <w:color w:val="auto"/>
                <w:sz w:val="24"/>
                <w:szCs w:val="24"/>
                <w:highlight w:val="none"/>
              </w:rPr>
              <w:t>单次曝光和重复曝光；</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皮肤制冷功能：</w:t>
            </w:r>
            <w:r>
              <w:rPr>
                <w:rFonts w:hint="eastAsia" w:ascii="宋体" w:hAnsi="宋体" w:eastAsia="宋体" w:cs="宋体"/>
                <w:color w:val="auto"/>
                <w:sz w:val="24"/>
                <w:szCs w:val="24"/>
                <w:highlight w:val="none"/>
              </w:rPr>
              <w:t>开启制冷模式，在最低和最高档位下，强脉冲光治疗仪出光口与皮肤接触温度控制在-4-10°C范围内；</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19.制冷范围调节：5个档位，1-5档范围任意调节；</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.治疗仪具有开机自检功能；</w:t>
            </w:r>
          </w:p>
          <w:p>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适应症:适用于老化皮肤外观的改善,皮肤浅表的色素性疾病、多毛症和毛细血管扩张的治疗</w:t>
            </w:r>
            <w:r>
              <w:rPr>
                <w:rFonts w:hint="eastAsia" w:ascii="宋体" w:hAnsi="宋体" w:eastAsia="宋体" w:cs="宋体"/>
                <w:color w:val="auto"/>
                <w:sz w:val="24"/>
                <w:szCs w:val="24"/>
                <w:highlight w:val="none"/>
                <w:lang w:eastAsia="zh-CN"/>
              </w:rPr>
              <w:t>；</w:t>
            </w:r>
          </w:p>
          <w:p>
            <w:pPr>
              <w:keepNext w:val="0"/>
              <w:keepLines w:val="0"/>
              <w:pageBreakBefore w:val="0"/>
              <w:kinsoku/>
              <w:overflowPunct/>
              <w:topLinePunct w:val="0"/>
              <w:autoSpaceDE/>
              <w:autoSpaceDN/>
              <w:bidi w:val="0"/>
              <w:adjustRightInd/>
              <w:snapToGrid w:val="0"/>
              <w:spacing w:line="560" w:lineRule="exact"/>
              <w:rPr>
                <w:rFonts w:hint="eastAsia" w:ascii="仿宋" w:hAnsi="仿宋" w:eastAsia="仿宋" w:cs="仿宋"/>
                <w:color w:val="auto"/>
                <w:spacing w:val="8"/>
                <w:sz w:val="32"/>
                <w:szCs w:val="32"/>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2023年1月5日下午2：30</w:t>
      </w:r>
      <w:bookmarkStart w:id="0" w:name="_GoBack"/>
      <w:bookmarkEnd w:id="0"/>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广丰区中医院门诊四楼会议室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需提供加盖产品生产厂家公章的产品详细技术参数说明书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1"/>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0"/>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8、参</w:t>
      </w:r>
      <w:r>
        <w:rPr>
          <w:rStyle w:val="9"/>
          <w:rFonts w:hint="eastAsia" w:ascii="仿宋" w:hAnsi="仿宋" w:eastAsia="仿宋" w:cs="仿宋"/>
          <w:b w:val="0"/>
          <w:i w:val="0"/>
          <w:caps w:val="0"/>
          <w:color w:val="auto"/>
          <w:spacing w:val="0"/>
          <w:w w:val="100"/>
          <w:kern w:val="0"/>
          <w:sz w:val="32"/>
          <w:szCs w:val="32"/>
          <w:lang w:val="en-US" w:eastAsia="zh-CN" w:bidi="ar-SA"/>
        </w:rPr>
        <w:t>询</w:t>
      </w:r>
      <w:r>
        <w:rPr>
          <w:rStyle w:val="9"/>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pStyle w:val="2"/>
        <w:rPr>
          <w:rFonts w:hint="eastAsia" w:ascii="仿宋" w:hAnsi="仿宋" w:eastAsia="仿宋" w:cs="仿宋"/>
          <w:color w:val="auto"/>
          <w:sz w:val="32"/>
          <w:szCs w:val="32"/>
          <w:lang w:eastAsia="zh-CN"/>
        </w:rPr>
      </w:pPr>
    </w:p>
    <w:p>
      <w:pPr>
        <w:pStyle w:val="2"/>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广丰区中医院</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5"/>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5"/>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tbl>
      <w:tblPr>
        <w:tblStyle w:val="5"/>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43E3136E"/>
    <w:rsid w:val="17B73819"/>
    <w:rsid w:val="43E3136E"/>
    <w:rsid w:val="474D2331"/>
    <w:rsid w:val="55EA2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hAnsi="Arial" w:eastAsia="宋体" w:cs="Times New Roman"/>
      <w:sz w:val="28"/>
    </w:rPr>
  </w:style>
  <w:style w:type="paragraph" w:styleId="4">
    <w:name w:val="Plain Text"/>
    <w:basedOn w:val="1"/>
    <w:uiPriority w:val="0"/>
    <w:rPr>
      <w:rFonts w:ascii="宋体" w:hAnsi="Courier New" w:eastAsia="宋体" w:cs="Times New Roma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iPriority w:val="0"/>
    <w:pPr>
      <w:ind w:firstLine="420" w:firstLineChars="200"/>
    </w:pPr>
    <w:rPr>
      <w:rFonts w:ascii="Times New Roman" w:hAnsi="Times New Roman" w:eastAsia="宋体" w:cs="Times New Roman"/>
    </w:rPr>
  </w:style>
  <w:style w:type="character" w:customStyle="1" w:styleId="9">
    <w:name w:val="NormalCharacter"/>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2822</Words>
  <Characters>3162</Characters>
  <Lines>0</Lines>
  <Paragraphs>0</Paragraphs>
  <TotalTime>2</TotalTime>
  <ScaleCrop>false</ScaleCrop>
  <LinksUpToDate>false</LinksUpToDate>
  <CharactersWithSpaces>3380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2022-12-30T08:30:00Z</dcterms:created>
  <dc:creator>a</dc:creator>
  <cp:lastModifiedBy>a</cp:lastModifiedBy>
  <dcterms:modified xsi:type="dcterms:W3CDTF">2022-12-30T08:37:48Z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03F038574DEA442483AC80EC0162D4DC</vt:lpwstr>
  </property>
</Properties>
</file>