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/>
          <w:i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上饶市广丰区中医院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eastAsia="zh-CN"/>
        </w:rPr>
        <w:t>关于广丰区亚定点医院基本医疗设备采购项目询价公告</w:t>
      </w:r>
    </w:p>
    <w:p/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482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eastAsia="zh-CN"/>
        </w:rPr>
        <w:t>广丰区亚定点医院基本医疗设备采购项目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的潜在供应商应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线下（上饶市广丰区中医院）领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取询价通知书及其它资料。并于2022年12月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0分（北京时间）前提交响应文件。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0" w:name="_Toc7512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一、项目基本情况</w:t>
      </w:r>
      <w:bookmarkEnd w:id="0"/>
    </w:p>
    <w:p>
      <w:pPr>
        <w:ind w:firstLine="480" w:firstLineChars="200"/>
        <w:rPr>
          <w:rFonts w:hint="eastAsia" w:ascii="仿宋" w:hAnsi="仿宋" w:eastAsia="仿宋" w:cs="仿宋"/>
          <w:i/>
          <w:i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项目名称：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广丰区亚定点医院基本医疗设备采购项目</w:t>
      </w:r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预算金额：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Cs w:val="21"/>
          <w:highlight w:val="none"/>
          <w:lang w:val="en-US" w:eastAsia="zh-CN"/>
        </w:rPr>
        <w:t>5600000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元人民币</w:t>
      </w:r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采购需求：</w:t>
      </w:r>
    </w:p>
    <w:tbl>
      <w:tblPr>
        <w:tblStyle w:val="3"/>
        <w:tblpPr w:leftFromText="180" w:rightFromText="180" w:vertAnchor="text" w:horzAnchor="page" w:tblpX="1248" w:tblpY="302"/>
        <w:tblOverlap w:val="never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1"/>
        <w:gridCol w:w="914"/>
        <w:gridCol w:w="1432"/>
        <w:gridCol w:w="17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9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bookmarkStart w:id="1" w:name="_Toc28359003"/>
            <w:bookmarkStart w:id="2" w:name="_Toc35393622"/>
            <w:bookmarkStart w:id="3" w:name="_Toc35393791"/>
            <w:bookmarkStart w:id="4" w:name="_Toc26529"/>
            <w:bookmarkStart w:id="5" w:name="_Toc28359080"/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eastAsia="zh-CN"/>
              </w:rPr>
              <w:t>货物名称</w:t>
            </w:r>
          </w:p>
        </w:tc>
        <w:tc>
          <w:tcPr>
            <w:tcW w:w="536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数量</w:t>
            </w:r>
          </w:p>
        </w:tc>
        <w:tc>
          <w:tcPr>
            <w:tcW w:w="840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单价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元）</w:t>
            </w:r>
          </w:p>
        </w:tc>
        <w:tc>
          <w:tcPr>
            <w:tcW w:w="1022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采购预算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亚定点医院基本医疗设备</w:t>
            </w:r>
          </w:p>
        </w:tc>
        <w:tc>
          <w:tcPr>
            <w:tcW w:w="5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1批</w:t>
            </w:r>
          </w:p>
        </w:tc>
        <w:tc>
          <w:tcPr>
            <w:tcW w:w="8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5600000.00</w:t>
            </w:r>
          </w:p>
        </w:tc>
        <w:tc>
          <w:tcPr>
            <w:tcW w:w="10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5600000.00</w:t>
            </w: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spacing w:line="240" w:lineRule="auto"/>
        <w:ind w:left="-2" w:leftChars="0" w:firstLine="0" w:firstLineChars="0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合同履行期限：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成交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公示后两天内签订合同，成交供应商在签订合同后3日内设备到达采购人指定地点，设备出厂日期在6个月内的产品。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本项目不接受联合体。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二、申请人的资格要求</w:t>
      </w:r>
      <w:bookmarkEnd w:id="1"/>
      <w:bookmarkEnd w:id="2"/>
      <w:bookmarkEnd w:id="3"/>
      <w:bookmarkEnd w:id="4"/>
      <w:bookmarkEnd w:id="5"/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6" w:name="_Toc28359081"/>
      <w:bookmarkStart w:id="7" w:name="_Toc28359004"/>
      <w:bookmarkStart w:id="8" w:name="_Toc35393792"/>
      <w:bookmarkStart w:id="9" w:name="_Toc35393623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1.满足《中华人民共和国政府采购法》第二十二条规定；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（1）具有独立承担民事责任的能力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（2）具有良好的商业信誉和健全的财务会计制度 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（3）具有履行合同所必需的设备和专业技术能力 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（4）有依法缴纳税收和社会保障资金的良好记录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（5）参加政府采购活动前三年内,在经营活动中没有重大违法记录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（6）法律、行政法规规定的其他条件。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2.单位负责人为同一人或者存在直接控股、管理关系的不同供应商，不得参加同一合同项下的采购活动。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3.供应商被“信用中国”列入失信被执行人或重大税收违法失信主体或被“中国政府采购网”网站列入政府采购严重违法失信行为记录名单（处罚期限尚未届满的），不得参与本项目的政府采购活动。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4.落实政府采购政策需满足的资格要求：如本项目采购的产品属于政府强制采购节能产品的，必须提供《节能产品政府采购品目清单》的产品。</w:t>
      </w:r>
    </w:p>
    <w:p>
      <w:pPr>
        <w:spacing w:line="24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5.本项目的特定资格要求：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5.1、为本采购项目提供整体设计、规范编制或者项目管理、监理、检测等服务的，不得参加本项目的政府采购活动。 5.2、二、三类医疗器械产品须具有医疗器械注册证，一类医疗器械产品需具有产品备案登记； 5.3、在中华人民共和国境内生产的二、三类医疗器械产品的需具有医疗器械生产许可证,一类医疗器械产品须具有医疗器械生产备案； 5.4、经营三类医疗器械的需具有医疗器械经营企业许可证，二类医疗器械需具有医疗器械经营企业备案登记。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三、获取</w:t>
      </w:r>
      <w:bookmarkEnd w:id="6"/>
      <w:bookmarkEnd w:id="7"/>
      <w:bookmarkEnd w:id="8"/>
      <w:bookmarkEnd w:id="9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询价通知书</w:t>
      </w:r>
    </w:p>
    <w:p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时间：2022年12月2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08:30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至2022年12月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17:30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（北京时间，法定节假日除外 ）</w:t>
      </w:r>
    </w:p>
    <w:p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地点：上饶市广丰区中医院</w:t>
      </w:r>
    </w:p>
    <w:p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方式：线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下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领取询价通知书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10" w:name="_Toc28359005"/>
      <w:bookmarkStart w:id="11" w:name="_Toc28359082"/>
      <w:bookmarkStart w:id="12" w:name="_Toc35393793"/>
      <w:bookmarkStart w:id="13" w:name="_Toc35393624"/>
      <w:bookmarkStart w:id="14" w:name="_Toc20720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四、提交响应文件</w:t>
      </w:r>
      <w:bookmarkEnd w:id="10"/>
      <w:bookmarkEnd w:id="11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截止时间和地点</w:t>
      </w:r>
      <w:bookmarkEnd w:id="12"/>
      <w:bookmarkEnd w:id="13"/>
      <w:bookmarkEnd w:id="14"/>
    </w:p>
    <w:p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截止时间：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2022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年12月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日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点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0分（北京时间）</w:t>
      </w:r>
    </w:p>
    <w:p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地    点：上饶市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凤凰大道万嘉商务中心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11楼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15" w:name="_Toc28359007"/>
      <w:bookmarkStart w:id="16" w:name="_Toc35393794"/>
      <w:bookmarkStart w:id="17" w:name="_Toc28359084"/>
      <w:bookmarkStart w:id="18" w:name="_Toc12960"/>
      <w:bookmarkStart w:id="19" w:name="_Toc35393625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五、公告期限</w:t>
      </w:r>
      <w:bookmarkEnd w:id="15"/>
      <w:bookmarkEnd w:id="16"/>
      <w:bookmarkEnd w:id="17"/>
      <w:bookmarkEnd w:id="18"/>
      <w:bookmarkEnd w:id="19"/>
    </w:p>
    <w:p>
      <w:pP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</w:pPr>
      <w:bookmarkStart w:id="28" w:name="_GoBack"/>
      <w:bookmarkEnd w:id="28"/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自本公告发布之日起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u w:val="single"/>
        </w:rPr>
        <w:t xml:space="preserve"> 3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</w:rPr>
        <w:t>个工作日。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20" w:name="_Toc35393626"/>
      <w:bookmarkStart w:id="21" w:name="_Toc10090"/>
      <w:bookmarkStart w:id="22" w:name="_Toc35393795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其他补充事宜</w:t>
      </w:r>
      <w:bookmarkEnd w:id="20"/>
      <w:bookmarkEnd w:id="21"/>
      <w:bookmarkEnd w:id="22"/>
    </w:p>
    <w:p>
      <w:pPr>
        <w:spacing w:line="360" w:lineRule="exact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1、本项目采购国内产品，不允许提供进口产品参与采购活动；本项目是（否）专门面向中小企业采购：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否；本项目不允许分包转包。</w:t>
      </w:r>
    </w:p>
    <w:p>
      <w:pPr>
        <w:spacing w:line="360" w:lineRule="exact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23" w:name="_Toc28359008"/>
      <w:bookmarkStart w:id="24" w:name="_Toc35393796"/>
      <w:bookmarkStart w:id="25" w:name="_Toc28359085"/>
      <w:bookmarkStart w:id="26" w:name="_Toc35393627"/>
      <w:bookmarkStart w:id="27" w:name="_Toc25456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2、凡领取本询价文件的单位，必须就此采购项目的相关事宜详细咨询。否则参与询价即被视为已经充分了解了招标方的需求，成交后承担询价文件范围内的所有要求。</w:t>
      </w:r>
    </w:p>
    <w:p>
      <w:pPr>
        <w:spacing w:line="36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3、以上公告内容如有变动，将在相关网络媒体上另行通知。凡领取标书后，对本标书必须仔细阅读，如对询价文件存有质疑，请在开标前三日以书面形式向我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院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提出，否则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我院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有权不予回应。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七、对本次采购提出询问，请按以下方式联系。</w:t>
      </w:r>
      <w:bookmarkEnd w:id="23"/>
      <w:bookmarkEnd w:id="24"/>
      <w:bookmarkEnd w:id="25"/>
      <w:bookmarkEnd w:id="26"/>
      <w:bookmarkEnd w:id="27"/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名 称：上饶市广丰区中医院　　　　　　　　　　　　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地 址：上饶市广丰区铜钹山大道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联系方式：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甘燕燕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13767373776</w:t>
      </w:r>
    </w:p>
    <w:p>
      <w:pPr>
        <w:spacing w:line="360" w:lineRule="auto"/>
        <w:ind w:firstLine="120" w:firstLineChars="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120" w:firstLineChars="50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25939D"/>
    <w:multiLevelType w:val="singleLevel"/>
    <w:tmpl w:val="AD25939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ZGI4MTRjMGE5NGI0NjIzYjBhM2RiMjQwM2IyYWMifQ=="/>
  </w:docVars>
  <w:rsids>
    <w:rsidRoot w:val="180B4EA1"/>
    <w:rsid w:val="180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2022-12-27T15:14:00Z</dcterms:created>
  <dc:creator>詡侬</dc:creator>
  <cp:lastModifiedBy>詡侬</cp:lastModifiedBy>
  <dcterms:modified xsi:type="dcterms:W3CDTF">2022-12-27T15:16:05Z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CC393045F14A4C7A893F881BDB071F42</vt:lpwstr>
  </property>
</Properties>
</file>