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广丰区中医院拟采购的生物刺激反馈仪（预算价33万元）等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4"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生物刺激反馈仪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微软雅黑" w:cs="Times New Roman"/>
                <w:b/>
                <w:color w:val="auto"/>
                <w:sz w:val="32"/>
                <w:lang w:eastAsia="zh-CN"/>
              </w:rPr>
            </w:pPr>
            <w:r>
              <w:rPr>
                <w:rFonts w:ascii="Times New Roman" w:hAnsi="Times New Roman" w:eastAsia="微软雅黑" w:cs="Times New Roman"/>
                <w:b/>
                <w:color w:val="auto"/>
                <w:sz w:val="32"/>
              </w:rPr>
              <w:t>生物刺激反馈仪</w:t>
            </w:r>
            <w:r>
              <w:rPr>
                <w:rFonts w:hint="eastAsia" w:ascii="Times New Roman" w:hAnsi="Times New Roman" w:eastAsia="微软雅黑" w:cs="Times New Roman"/>
                <w:b/>
                <w:color w:val="auto"/>
                <w:sz w:val="32"/>
                <w:lang w:eastAsia="zh-CN"/>
              </w:rPr>
              <w:t>参数</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imes New Roman" w:hAnsi="Times New Roman" w:eastAsia="微软雅黑" w:cs="Times New Roman"/>
                <w:b/>
                <w:color w:val="auto"/>
                <w:kern w:val="0"/>
                <w:sz w:val="28"/>
                <w:szCs w:val="28"/>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default" w:ascii="微软雅黑" w:hAnsi="微软雅黑" w:eastAsia="微软雅黑" w:cs="微软雅黑"/>
                <w:b w:val="0"/>
                <w:bCs w:val="0"/>
                <w:color w:val="auto"/>
                <w:kern w:val="0"/>
                <w:sz w:val="24"/>
                <w:szCs w:val="24"/>
                <w:lang w:val="en-US" w:eastAsia="zh-CN"/>
              </w:rPr>
              <w:t xml:space="preserve"> </w:t>
            </w:r>
            <w:r>
              <w:rPr>
                <w:rFonts w:hint="eastAsia" w:ascii="微软雅黑" w:hAnsi="微软雅黑" w:eastAsia="微软雅黑" w:cs="微软雅黑"/>
                <w:b w:val="0"/>
                <w:bCs w:val="0"/>
                <w:color w:val="auto"/>
                <w:kern w:val="0"/>
                <w:sz w:val="24"/>
                <w:szCs w:val="24"/>
                <w:lang w:val="en-US" w:eastAsia="zh-CN"/>
              </w:rPr>
              <w:t>主机：集成化一体式机箱设计（信号采集和电刺激模块与工</w:t>
            </w:r>
            <w:r>
              <w:rPr>
                <w:rFonts w:hint="default" w:ascii="微软雅黑" w:hAnsi="微软雅黑" w:eastAsia="微软雅黑" w:cs="微软雅黑"/>
                <w:b w:val="0"/>
                <w:bCs w:val="0"/>
                <w:color w:val="auto"/>
                <w:kern w:val="0"/>
                <w:sz w:val="24"/>
                <w:szCs w:val="24"/>
                <w:lang w:val="en-US" w:eastAsia="zh-CN"/>
              </w:rPr>
              <w:t>控</w:t>
            </w:r>
            <w:r>
              <w:rPr>
                <w:rFonts w:hint="eastAsia" w:ascii="微软雅黑" w:hAnsi="微软雅黑" w:eastAsia="微软雅黑" w:cs="微软雅黑"/>
                <w:b w:val="0"/>
                <w:bCs w:val="0"/>
                <w:color w:val="auto"/>
                <w:kern w:val="0"/>
                <w:sz w:val="24"/>
                <w:szCs w:val="24"/>
                <w:lang w:val="en-US" w:eastAsia="zh-CN"/>
              </w:rPr>
              <w:t>机封装于同一机箱内），稳定性和兼容性更有保障，抗电磁干扰性能突出。</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 xml:space="preserve"> 主机多功能物理通道≥4个，其中≥4个电刺激通道（STIM），≥3个肌电采集通道（EMG）。</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使用物理旋钮调节电流强度，操作方便，每个通道均设置各自的独立旋钮控制，可实现多通道不同强度刺激。</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 xml:space="preserve"> 肌电采集范围：2-2500μV（r.m.s）</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Cs w:val="28"/>
                <w:lang w:val="en-US" w:eastAsia="zh-CN"/>
              </w:rPr>
              <w:t xml:space="preserve"> </w:t>
            </w:r>
            <w:r>
              <w:rPr>
                <w:rFonts w:hint="eastAsia" w:ascii="微软雅黑" w:hAnsi="微软雅黑" w:eastAsia="微软雅黑" w:cs="微软雅黑"/>
                <w:color w:val="auto"/>
                <w:kern w:val="0"/>
                <w:sz w:val="24"/>
                <w:szCs w:val="24"/>
                <w:lang w:val="en-US" w:eastAsia="zh-CN"/>
              </w:rPr>
              <w:t>分辨率</w:t>
            </w: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val="en-US" w:eastAsia="zh-CN"/>
              </w:rPr>
              <w:t>≤0.5μV（r.m.s）</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通频带：</w:t>
            </w:r>
            <w:r>
              <w:rPr>
                <w:rFonts w:hint="eastAsia" w:ascii="微软雅黑" w:hAnsi="微软雅黑" w:eastAsia="微软雅黑" w:cs="微软雅黑"/>
                <w:color w:val="auto"/>
                <w:sz w:val="24"/>
                <w:szCs w:val="24"/>
                <w:lang w:val="en-US" w:eastAsia="zh-CN"/>
              </w:rPr>
              <w:t>不窄于</w:t>
            </w:r>
            <w:r>
              <w:rPr>
                <w:rFonts w:hint="eastAsia" w:ascii="微软雅黑" w:hAnsi="微软雅黑" w:eastAsia="微软雅黑" w:cs="微软雅黑"/>
                <w:color w:val="auto"/>
                <w:kern w:val="0"/>
                <w:sz w:val="24"/>
                <w:szCs w:val="24"/>
              </w:rPr>
              <w:t>20Hz～</w:t>
            </w:r>
            <w:r>
              <w:rPr>
                <w:rFonts w:hint="eastAsia" w:ascii="微软雅黑" w:hAnsi="微软雅黑" w:eastAsia="微软雅黑" w:cs="微软雅黑"/>
                <w:color w:val="auto"/>
                <w:kern w:val="0"/>
                <w:sz w:val="24"/>
                <w:szCs w:val="24"/>
                <w:lang w:val="en-US" w:eastAsia="zh-CN"/>
              </w:rPr>
              <w:t>50</w:t>
            </w:r>
            <w:r>
              <w:rPr>
                <w:rFonts w:hint="eastAsia" w:ascii="微软雅黑" w:hAnsi="微软雅黑" w:eastAsia="微软雅黑" w:cs="微软雅黑"/>
                <w:color w:val="auto"/>
                <w:kern w:val="0"/>
                <w:sz w:val="24"/>
                <w:szCs w:val="24"/>
              </w:rPr>
              <w:t>0Hz (-3dB)</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val="0"/>
                <w:bCs w:val="0"/>
                <w:color w:val="auto"/>
                <w:kern w:val="0"/>
                <w:sz w:val="24"/>
                <w:szCs w:val="24"/>
                <w:lang w:val="en-US" w:eastAsia="zh-CN"/>
              </w:rPr>
            </w:pPr>
            <w:r>
              <w:rPr>
                <w:rFonts w:hint="default" w:ascii="微软雅黑" w:hAnsi="微软雅黑" w:eastAsia="微软雅黑" w:cs="微软雅黑"/>
                <w:b w:val="0"/>
                <w:bCs w:val="0"/>
                <w:color w:val="auto"/>
                <w:kern w:val="0"/>
                <w:sz w:val="24"/>
                <w:szCs w:val="24"/>
                <w:lang w:val="en-US" w:eastAsia="zh-CN"/>
              </w:rPr>
              <w:t>刺激电流强度：0-100mA范围内可调，步进0.5mA可调节。</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 xml:space="preserve"> </w:t>
            </w:r>
            <w:r>
              <w:rPr>
                <w:rFonts w:hint="default" w:ascii="微软雅黑" w:hAnsi="微软雅黑" w:eastAsia="微软雅黑" w:cs="微软雅黑"/>
                <w:b w:val="0"/>
                <w:bCs w:val="0"/>
                <w:color w:val="auto"/>
                <w:kern w:val="0"/>
                <w:sz w:val="24"/>
                <w:szCs w:val="24"/>
                <w:lang w:val="en-US" w:eastAsia="zh-CN"/>
              </w:rPr>
              <w:t>电刺激脉冲宽度：至少在</w:t>
            </w:r>
            <w:r>
              <w:rPr>
                <w:rFonts w:hint="eastAsia" w:ascii="微软雅黑" w:hAnsi="微软雅黑" w:eastAsia="微软雅黑" w:cs="微软雅黑"/>
                <w:b w:val="0"/>
                <w:bCs w:val="0"/>
                <w:color w:val="auto"/>
                <w:kern w:val="0"/>
                <w:sz w:val="24"/>
                <w:szCs w:val="24"/>
                <w:lang w:val="en-US" w:eastAsia="zh-CN"/>
              </w:rPr>
              <w:t>5</w:t>
            </w:r>
            <w:r>
              <w:rPr>
                <w:rFonts w:hint="default" w:ascii="微软雅黑" w:hAnsi="微软雅黑" w:eastAsia="微软雅黑" w:cs="微软雅黑"/>
                <w:b w:val="0"/>
                <w:bCs w:val="0"/>
                <w:color w:val="auto"/>
                <w:kern w:val="0"/>
                <w:sz w:val="24"/>
                <w:szCs w:val="24"/>
                <w:lang w:val="en-US" w:eastAsia="zh-CN"/>
              </w:rPr>
              <w:t>0-9</w:t>
            </w:r>
            <w:r>
              <w:rPr>
                <w:rFonts w:hint="eastAsia" w:ascii="微软雅黑" w:hAnsi="微软雅黑" w:eastAsia="微软雅黑" w:cs="微软雅黑"/>
                <w:b w:val="0"/>
                <w:bCs w:val="0"/>
                <w:color w:val="auto"/>
                <w:kern w:val="0"/>
                <w:sz w:val="24"/>
                <w:szCs w:val="24"/>
                <w:lang w:val="en-US" w:eastAsia="zh-CN"/>
              </w:rPr>
              <w:t>0</w:t>
            </w:r>
            <w:r>
              <w:rPr>
                <w:rFonts w:hint="default" w:ascii="微软雅黑" w:hAnsi="微软雅黑" w:eastAsia="微软雅黑" w:cs="微软雅黑"/>
                <w:b w:val="0"/>
                <w:bCs w:val="0"/>
                <w:color w:val="auto"/>
                <w:kern w:val="0"/>
                <w:sz w:val="24"/>
                <w:szCs w:val="24"/>
                <w:lang w:val="en-US" w:eastAsia="zh-CN"/>
              </w:rPr>
              <w:t>0μs范围内</w:t>
            </w:r>
            <w:r>
              <w:rPr>
                <w:rFonts w:hint="eastAsia" w:ascii="微软雅黑" w:hAnsi="微软雅黑" w:eastAsia="微软雅黑" w:cs="微软雅黑"/>
                <w:b w:val="0"/>
                <w:bCs w:val="0"/>
                <w:color w:val="auto"/>
                <w:kern w:val="0"/>
                <w:sz w:val="24"/>
                <w:szCs w:val="24"/>
                <w:lang w:val="en-US" w:eastAsia="zh-CN"/>
              </w:rPr>
              <w:t>均</w:t>
            </w:r>
            <w:r>
              <w:rPr>
                <w:rFonts w:hint="default" w:ascii="微软雅黑" w:hAnsi="微软雅黑" w:eastAsia="微软雅黑" w:cs="微软雅黑"/>
                <w:b w:val="0"/>
                <w:bCs w:val="0"/>
                <w:color w:val="auto"/>
                <w:kern w:val="0"/>
                <w:sz w:val="24"/>
                <w:szCs w:val="24"/>
                <w:lang w:val="en-US" w:eastAsia="zh-CN"/>
              </w:rPr>
              <w:t>可调，步进10us可调节。</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default"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 xml:space="preserve"> </w:t>
            </w:r>
            <w:r>
              <w:rPr>
                <w:rFonts w:hint="default" w:ascii="微软雅黑" w:hAnsi="微软雅黑" w:eastAsia="微软雅黑" w:cs="微软雅黑"/>
                <w:b w:val="0"/>
                <w:bCs w:val="0"/>
                <w:color w:val="auto"/>
                <w:kern w:val="0"/>
                <w:sz w:val="24"/>
                <w:szCs w:val="24"/>
                <w:lang w:val="en-US" w:eastAsia="zh-CN"/>
              </w:rPr>
              <w:t>电刺激脉冲频率：至少在</w:t>
            </w:r>
            <w:r>
              <w:rPr>
                <w:rFonts w:hint="eastAsia" w:ascii="微软雅黑" w:hAnsi="微软雅黑" w:eastAsia="微软雅黑" w:cs="微软雅黑"/>
                <w:b w:val="0"/>
                <w:bCs w:val="0"/>
                <w:color w:val="auto"/>
                <w:kern w:val="0"/>
                <w:sz w:val="24"/>
                <w:szCs w:val="24"/>
                <w:lang w:val="en-US" w:eastAsia="zh-CN"/>
              </w:rPr>
              <w:t>1</w:t>
            </w:r>
            <w:r>
              <w:rPr>
                <w:rFonts w:hint="default" w:ascii="微软雅黑" w:hAnsi="微软雅黑" w:eastAsia="微软雅黑" w:cs="微软雅黑"/>
                <w:b w:val="0"/>
                <w:bCs w:val="0"/>
                <w:color w:val="auto"/>
                <w:kern w:val="0"/>
                <w:sz w:val="24"/>
                <w:szCs w:val="24"/>
                <w:lang w:val="en-US" w:eastAsia="zh-CN"/>
              </w:rPr>
              <w:t>-</w:t>
            </w:r>
            <w:r>
              <w:rPr>
                <w:rFonts w:hint="eastAsia" w:ascii="微软雅黑" w:hAnsi="微软雅黑" w:eastAsia="微软雅黑" w:cs="微软雅黑"/>
                <w:b w:val="0"/>
                <w:bCs w:val="0"/>
                <w:color w:val="auto"/>
                <w:kern w:val="0"/>
                <w:sz w:val="24"/>
                <w:szCs w:val="24"/>
                <w:lang w:val="en-US" w:eastAsia="zh-CN"/>
              </w:rPr>
              <w:t>50</w:t>
            </w:r>
            <w:r>
              <w:rPr>
                <w:rFonts w:hint="default" w:ascii="微软雅黑" w:hAnsi="微软雅黑" w:eastAsia="微软雅黑" w:cs="微软雅黑"/>
                <w:b w:val="0"/>
                <w:bCs w:val="0"/>
                <w:color w:val="auto"/>
                <w:kern w:val="0"/>
                <w:sz w:val="24"/>
                <w:szCs w:val="24"/>
                <w:lang w:val="en-US" w:eastAsia="zh-CN"/>
              </w:rPr>
              <w:t>0Hz范围内</w:t>
            </w:r>
            <w:r>
              <w:rPr>
                <w:rFonts w:hint="eastAsia" w:ascii="微软雅黑" w:hAnsi="微软雅黑" w:eastAsia="微软雅黑" w:cs="微软雅黑"/>
                <w:b w:val="0"/>
                <w:bCs w:val="0"/>
                <w:color w:val="auto"/>
                <w:kern w:val="0"/>
                <w:sz w:val="24"/>
                <w:szCs w:val="24"/>
                <w:lang w:val="en-US" w:eastAsia="zh-CN"/>
              </w:rPr>
              <w:t>均</w:t>
            </w:r>
            <w:r>
              <w:rPr>
                <w:rFonts w:hint="default" w:ascii="微软雅黑" w:hAnsi="微软雅黑" w:eastAsia="微软雅黑" w:cs="微软雅黑"/>
                <w:b w:val="0"/>
                <w:bCs w:val="0"/>
                <w:color w:val="auto"/>
                <w:kern w:val="0"/>
                <w:sz w:val="24"/>
                <w:szCs w:val="24"/>
                <w:lang w:val="en-US" w:eastAsia="zh-CN"/>
              </w:rPr>
              <w:t>可调，步进1Hz可调节。</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default" w:ascii="Times New Roman" w:hAnsi="Times New Roman" w:eastAsia="微软雅黑" w:cs="Times New Roman"/>
                <w:b/>
                <w:color w:val="auto"/>
                <w:kern w:val="0"/>
                <w:sz w:val="28"/>
                <w:szCs w:val="28"/>
                <w:lang w:val="en-US" w:eastAsia="zh-CN"/>
              </w:rPr>
            </w:pPr>
            <w:r>
              <w:rPr>
                <w:rFonts w:hint="default" w:ascii="微软雅黑" w:hAnsi="微软雅黑" w:eastAsia="微软雅黑" w:cs="微软雅黑"/>
                <w:b w:val="0"/>
                <w:bCs w:val="0"/>
                <w:color w:val="auto"/>
                <w:kern w:val="0"/>
                <w:sz w:val="24"/>
                <w:szCs w:val="24"/>
                <w:lang w:val="en-US" w:eastAsia="zh-CN"/>
              </w:rPr>
              <w:t>上升/下降时间：至少在0s～18s范围内可调。</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筛查模式用于短时间内筛查出盆底肌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b w:val="0"/>
                <w:bCs w:val="0"/>
                <w:color w:val="auto"/>
                <w:kern w:val="0"/>
                <w:sz w:val="24"/>
                <w:szCs w:val="24"/>
                <w:lang w:val="en-US" w:eastAsia="zh-CN"/>
              </w:rPr>
              <w:t xml:space="preserve"> 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Cs w:val="28"/>
                <w:lang w:val="en-US" w:eastAsia="zh-CN"/>
              </w:rPr>
              <w:t>肌电筛查、评估报告包括筛查、评估指标数值、参考值、盆底肌肌电图、腹肌肌电图、报告简要解读说明和治疗建议。</w:t>
            </w:r>
          </w:p>
          <w:p>
            <w:pPr>
              <w:keepNext w:val="0"/>
              <w:keepLines w:val="0"/>
              <w:pageBreakBefore w:val="0"/>
              <w:numPr>
                <w:ilvl w:val="0"/>
                <w:numId w:val="1"/>
              </w:numPr>
              <w:kinsoku/>
              <w:wordWrap/>
              <w:overflowPunct/>
              <w:topLinePunct w:val="0"/>
              <w:autoSpaceDE/>
              <w:autoSpaceDN/>
              <w:bidi w:val="0"/>
              <w:adjustRightInd/>
              <w:snapToGrid/>
              <w:spacing w:line="400" w:lineRule="exact"/>
              <w:ind w:leftChars="0"/>
              <w:jc w:val="left"/>
              <w:textAlignment w:val="auto"/>
              <w:rPr>
                <w:rFonts w:hint="eastAsia" w:ascii="微软雅黑" w:hAnsi="微软雅黑" w:eastAsia="微软雅黑" w:cs="微软雅黑"/>
                <w:b w:val="0"/>
                <w:bCs w:val="0"/>
                <w:color w:val="auto"/>
                <w:kern w:val="0"/>
                <w:sz w:val="24"/>
                <w:szCs w:val="24"/>
                <w:lang w:val="en-US" w:eastAsia="zh-CN"/>
              </w:rPr>
            </w:pPr>
            <w:r>
              <w:rPr>
                <w:rFonts w:hint="eastAsia" w:ascii="微软雅黑" w:hAnsi="微软雅黑" w:eastAsia="微软雅黑" w:cs="微软雅黑"/>
                <w:color w:val="auto"/>
                <w:kern w:val="0"/>
                <w:szCs w:val="28"/>
                <w:lang w:val="en-US" w:eastAsia="zh-CN"/>
              </w:rPr>
              <w:t xml:space="preserve"> 系统自动对筛查、评估的每个阶段进行打分，并计算出整个过程的最终得分。</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筛查、评估和治疗过程中，系统提供语音指导，提高临床效率。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监测盆底肌电信号时，若腹肌肌电幅值高于阈值，则系统自动弹出提示标志，提醒患者减少腹部发力。</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 xml:space="preserve"> </w:t>
            </w:r>
            <w:r>
              <w:rPr>
                <w:rFonts w:hint="eastAsia" w:ascii="微软雅黑" w:hAnsi="微软雅黑" w:eastAsia="微软雅黑" w:cs="微软雅黑"/>
                <w:color w:val="auto"/>
                <w:szCs w:val="28"/>
              </w:rPr>
              <w:t>系统</w:t>
            </w:r>
            <w:r>
              <w:rPr>
                <w:rFonts w:hint="eastAsia" w:ascii="微软雅黑" w:hAnsi="微软雅黑" w:eastAsia="微软雅黑" w:cs="微软雅黑"/>
                <w:color w:val="auto"/>
                <w:szCs w:val="28"/>
                <w:lang w:eastAsia="zh-CN"/>
              </w:rPr>
              <w:t>可</w:t>
            </w:r>
            <w:r>
              <w:rPr>
                <w:rFonts w:hint="eastAsia" w:ascii="微软雅黑" w:hAnsi="微软雅黑" w:eastAsia="微软雅黑" w:cs="微软雅黑"/>
                <w:color w:val="auto"/>
                <w:szCs w:val="28"/>
              </w:rPr>
              <w:t>根据盆底</w:t>
            </w:r>
            <w:r>
              <w:rPr>
                <w:rFonts w:hint="eastAsia" w:ascii="微软雅黑" w:hAnsi="微软雅黑" w:eastAsia="微软雅黑" w:cs="微软雅黑"/>
                <w:color w:val="auto"/>
                <w:szCs w:val="28"/>
                <w:lang w:eastAsia="zh-CN"/>
              </w:rPr>
              <w:t>筛查</w:t>
            </w:r>
            <w:r>
              <w:rPr>
                <w:rFonts w:hint="eastAsia" w:ascii="微软雅黑" w:hAnsi="微软雅黑" w:eastAsia="微软雅黑" w:cs="微软雅黑"/>
                <w:color w:val="auto"/>
                <w:szCs w:val="28"/>
                <w:lang w:val="en-US" w:eastAsia="zh-CN"/>
              </w:rPr>
              <w:t>或</w:t>
            </w:r>
            <w:r>
              <w:rPr>
                <w:rFonts w:hint="eastAsia" w:ascii="微软雅黑" w:hAnsi="微软雅黑" w:eastAsia="微软雅黑" w:cs="微软雅黑"/>
                <w:color w:val="auto"/>
                <w:szCs w:val="28"/>
                <w:lang w:eastAsia="zh-CN"/>
              </w:rPr>
              <w:t>评估</w:t>
            </w:r>
            <w:r>
              <w:rPr>
                <w:rFonts w:hint="eastAsia" w:ascii="微软雅黑" w:hAnsi="微软雅黑" w:eastAsia="微软雅黑" w:cs="微软雅黑"/>
                <w:color w:val="auto"/>
                <w:szCs w:val="28"/>
              </w:rPr>
              <w:t>结果自动生</w:t>
            </w:r>
            <w:r>
              <w:rPr>
                <w:rFonts w:hint="eastAsia" w:ascii="微软雅黑" w:hAnsi="微软雅黑" w:eastAsia="微软雅黑" w:cs="微软雅黑"/>
                <w:color w:val="auto"/>
                <w:szCs w:val="28"/>
                <w:lang w:val="en-US" w:eastAsia="zh-CN"/>
              </w:rPr>
              <w:t>成针对不同患者</w:t>
            </w:r>
            <w:r>
              <w:rPr>
                <w:rFonts w:hint="eastAsia" w:ascii="微软雅黑" w:hAnsi="微软雅黑" w:eastAsia="微软雅黑" w:cs="微软雅黑"/>
                <w:color w:val="auto"/>
                <w:szCs w:val="28"/>
              </w:rPr>
              <w:t>的</w:t>
            </w:r>
            <w:r>
              <w:rPr>
                <w:rFonts w:hint="eastAsia" w:ascii="微软雅黑" w:hAnsi="微软雅黑" w:eastAsia="微软雅黑" w:cs="微软雅黑"/>
                <w:color w:val="auto"/>
                <w:szCs w:val="28"/>
                <w:lang w:val="en-US" w:eastAsia="zh-CN"/>
              </w:rPr>
              <w:t>疗程化盆底</w:t>
            </w:r>
            <w:r>
              <w:rPr>
                <w:rFonts w:hint="eastAsia" w:ascii="微软雅黑" w:hAnsi="微软雅黑" w:eastAsia="微软雅黑" w:cs="微软雅黑"/>
                <w:color w:val="auto"/>
                <w:szCs w:val="28"/>
              </w:rPr>
              <w:t>训练方案</w:t>
            </w:r>
            <w:r>
              <w:rPr>
                <w:rFonts w:hint="eastAsia" w:ascii="微软雅黑" w:hAnsi="微软雅黑" w:eastAsia="微软雅黑" w:cs="微软雅黑"/>
                <w:color w:val="auto"/>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highlight w:val="none"/>
                <w:lang w:val="en-US" w:eastAsia="zh-CN"/>
              </w:rPr>
              <w:t xml:space="preserve"> </w:t>
            </w:r>
            <w:r>
              <w:rPr>
                <w:rFonts w:hint="eastAsia" w:ascii="微软雅黑" w:hAnsi="微软雅黑" w:eastAsia="微软雅黑" w:cs="微软雅黑"/>
                <w:color w:val="auto"/>
                <w:szCs w:val="28"/>
                <w:lang w:val="en-US" w:eastAsia="zh-CN"/>
              </w:rPr>
              <w:t>系统支持自动生成磁电联合疗程化治疗方案，并实现与同品牌磁刺激类设备的实时数据同步共享。</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highlight w:val="none"/>
                <w:lang w:val="en-US" w:eastAsia="zh-CN"/>
              </w:rPr>
              <w:t xml:space="preserve"> 系统可将训练方案（包括电刺激、触发电刺激、生物反馈训练、多媒体游戏训练）通过无线方式传输至</w:t>
            </w:r>
            <w:r>
              <w:rPr>
                <w:rFonts w:hint="default" w:ascii="微软雅黑" w:hAnsi="微软雅黑" w:eastAsia="微软雅黑" w:cs="微软雅黑"/>
                <w:color w:val="auto"/>
                <w:kern w:val="0"/>
                <w:szCs w:val="28"/>
                <w:highlight w:val="none"/>
                <w:lang w:val="en-US" w:eastAsia="zh-CN"/>
              </w:rPr>
              <w:t>盆底生物刺激反馈类设备</w:t>
            </w:r>
            <w:r>
              <w:rPr>
                <w:rFonts w:hint="eastAsia" w:ascii="微软雅黑" w:hAnsi="微软雅黑" w:eastAsia="微软雅黑" w:cs="微软雅黑"/>
                <w:color w:val="auto"/>
                <w:kern w:val="0"/>
                <w:szCs w:val="28"/>
                <w:highlight w:val="none"/>
                <w:lang w:val="en-US" w:eastAsia="zh-CN"/>
              </w:rPr>
              <w:t>（由主机和手机APP软件等组成），医生可通过手机APP查看患者的训练数据，提高患者依从性，安卓和IOS系统均支持该APP。</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多种治疗模式，包括神经肌肉电刺激、肌电触发电刺激、Kegel模板训练、         多媒体游戏训练。</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单个电刺激治疗可设置变频模式，实现刺激过程中至少两种频率以及脉宽之间转换。</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肌电触发电刺激模式包括阈值上刺激和阈值下刺激，系统可根据肌肉收缩情况自动调整阈值。</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Kegel训练可采用肌电值和MVC%（最大随意收缩力的百分比）两种模式。其中MVC%模式可根据患者的自身情况，调节模板训练的难度，有助于科学训练。</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触发电刺激、Kegel训练可查看训练记录，且Kegel训练可查看训练期间的盆底肌肌电图和腹肌肌电图。</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highlight w:val="none"/>
                <w:lang w:val="en-US" w:eastAsia="zh-CN"/>
              </w:rPr>
              <w:t xml:space="preserve"> </w:t>
            </w:r>
            <w:r>
              <w:rPr>
                <w:rFonts w:hint="eastAsia" w:ascii="微软雅黑" w:hAnsi="微软雅黑" w:eastAsia="微软雅黑" w:cs="微软雅黑"/>
                <w:color w:val="auto"/>
                <w:kern w:val="0"/>
                <w:szCs w:val="28"/>
                <w:lang w:val="en-US" w:eastAsia="zh-CN"/>
              </w:rPr>
              <w:t>系统可对多个筛查评估结果进行趋势分析，并自动绘制趋势分析折线图，显示不同阶段的结果。可自由选择需要分析的检测类型和不同时间段的盆底肌电报告。</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highlight w:val="none"/>
                <w:lang w:val="en-US" w:eastAsia="zh-CN"/>
              </w:rPr>
              <w:t xml:space="preserve"> </w:t>
            </w:r>
            <w:r>
              <w:rPr>
                <w:rFonts w:hint="eastAsia" w:ascii="微软雅黑" w:hAnsi="微软雅黑" w:eastAsia="微软雅黑" w:cs="微软雅黑"/>
                <w:color w:val="auto"/>
                <w:kern w:val="0"/>
                <w:szCs w:val="28"/>
                <w:lang w:val="en-US" w:eastAsia="zh-CN"/>
              </w:rPr>
              <w:t>系统支持扫码读取患者信息，标配扫描器，通过扫描器可识别患者在手机端填写的基本信息，实现扫码后读取所填写的全部信息并在设备中自动建立病患档案，其中信息至少包括姓名、电话、出生日期、身份证号、身高、体重、分娩史、分娩情况等，提高临床诊疗效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微软雅黑" w:hAnsi="微软雅黑" w:eastAsia="微软雅黑" w:cs="微软雅黑"/>
                <w:color w:val="auto"/>
                <w:kern w:val="0"/>
                <w:szCs w:val="28"/>
                <w:lang w:val="en-US" w:eastAsia="zh-CN"/>
              </w:rPr>
            </w:pPr>
            <w:r>
              <w:rPr>
                <w:rFonts w:hint="eastAsia" w:ascii="微软雅黑" w:hAnsi="微软雅黑" w:eastAsia="微软雅黑" w:cs="微软雅黑"/>
                <w:color w:val="auto"/>
                <w:kern w:val="0"/>
                <w:szCs w:val="28"/>
                <w:lang w:val="en-US" w:eastAsia="zh-CN"/>
              </w:rPr>
              <w:t>系统支持与盆底疾病分级诊疗信息软件的数据同步，实现医联体组建、共享数据、科研协作、病患转诊、患者预约、本地病员管理等功能。</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pacing w:val="8"/>
                <w:sz w:val="32"/>
                <w:szCs w:val="32"/>
              </w:rPr>
            </w:pPr>
            <w:r>
              <w:rPr>
                <w:rFonts w:hint="eastAsia" w:ascii="微软雅黑" w:hAnsi="微软雅黑" w:eastAsia="微软雅黑" w:cs="微软雅黑"/>
                <w:color w:val="auto"/>
                <w:kern w:val="0"/>
                <w:szCs w:val="28"/>
                <w:lang w:val="en-US" w:eastAsia="zh-CN"/>
              </w:rPr>
              <w:t>系统支持患者通过手机实时进行医院的诊疗预约，医生可通过预约软件对患者预约信息进行管理。医生可对诊疗预约进行个性化设置，包括：最大预约次数、允许预约时间、预约设备管理和预约时间段管理等。</w:t>
            </w:r>
            <w:bookmarkStart w:id="0" w:name="_GoBack"/>
            <w:bookmarkEnd w:id="0"/>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4"/>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2022年12月27日下午2：00</w:t>
      </w:r>
    </w:p>
    <w:p>
      <w:pPr>
        <w:pStyle w:val="4"/>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2"/>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9"/>
          <w:rFonts w:hint="eastAsia" w:ascii="仿宋" w:hAnsi="仿宋" w:eastAsia="仿宋" w:cs="仿宋"/>
          <w:b w:val="0"/>
          <w:i w:val="0"/>
          <w:caps w:val="0"/>
          <w:color w:val="auto"/>
          <w:spacing w:val="0"/>
          <w:w w:val="100"/>
          <w:kern w:val="0"/>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8、参</w:t>
      </w:r>
      <w:r>
        <w:rPr>
          <w:rStyle w:val="19"/>
          <w:rFonts w:hint="eastAsia" w:ascii="仿宋" w:hAnsi="仿宋" w:eastAsia="仿宋" w:cs="仿宋"/>
          <w:b w:val="0"/>
          <w:i w:val="0"/>
          <w:caps w:val="0"/>
          <w:color w:val="auto"/>
          <w:spacing w:val="0"/>
          <w:w w:val="100"/>
          <w:kern w:val="0"/>
          <w:sz w:val="32"/>
          <w:szCs w:val="32"/>
          <w:lang w:val="en-US" w:eastAsia="zh-CN" w:bidi="ar-SA"/>
        </w:rPr>
        <w:t>询</w:t>
      </w:r>
      <w:r>
        <w:rPr>
          <w:rStyle w:val="19"/>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9"/>
          <w:rFonts w:hint="eastAsia" w:ascii="仿宋" w:hAnsi="仿宋" w:eastAsia="仿宋" w:cs="仿宋"/>
          <w:b w:val="0"/>
          <w:i w:val="0"/>
          <w:caps w:val="0"/>
          <w:color w:val="auto"/>
          <w:spacing w:val="0"/>
          <w:w w:val="100"/>
          <w:kern w:val="2"/>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9"/>
          <w:rFonts w:hint="eastAsia" w:ascii="仿宋" w:hAnsi="仿宋" w:eastAsia="仿宋" w:cs="仿宋"/>
          <w:b w:val="0"/>
          <w:i w:val="0"/>
          <w:caps w:val="0"/>
          <w:color w:val="auto"/>
          <w:spacing w:val="0"/>
          <w:w w:val="100"/>
          <w:kern w:val="2"/>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9"/>
          <w:rFonts w:hint="eastAsia" w:ascii="仿宋" w:hAnsi="仿宋" w:eastAsia="仿宋" w:cs="仿宋"/>
          <w:b w:val="0"/>
          <w:i w:val="0"/>
          <w:caps w:val="0"/>
          <w:color w:val="auto"/>
          <w:spacing w:val="0"/>
          <w:w w:val="100"/>
          <w:kern w:val="2"/>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9"/>
          <w:rFonts w:hint="eastAsia" w:ascii="仿宋" w:hAnsi="仿宋" w:eastAsia="仿宋" w:cs="仿宋"/>
          <w:b w:val="0"/>
          <w:i w:val="0"/>
          <w:caps w:val="0"/>
          <w:color w:val="auto"/>
          <w:spacing w:val="0"/>
          <w:w w:val="100"/>
          <w:kern w:val="2"/>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9"/>
          <w:rFonts w:hint="eastAsia" w:ascii="仿宋" w:hAnsi="仿宋" w:eastAsia="仿宋" w:cs="仿宋"/>
          <w:b w:val="0"/>
          <w:i w:val="0"/>
          <w:caps w:val="0"/>
          <w:color w:val="auto"/>
          <w:spacing w:val="0"/>
          <w:w w:val="100"/>
          <w:kern w:val="2"/>
          <w:sz w:val="32"/>
          <w:szCs w:val="32"/>
          <w:lang w:val="en-US" w:eastAsia="zh-CN" w:bidi="ar-SA"/>
        </w:rPr>
      </w:pPr>
      <w:r>
        <w:rPr>
          <w:rStyle w:val="19"/>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4"/>
        <w:rPr>
          <w:rFonts w:hint="eastAsia" w:ascii="仿宋" w:hAnsi="仿宋" w:eastAsia="仿宋" w:cs="仿宋"/>
          <w:color w:val="auto"/>
          <w:sz w:val="32"/>
          <w:szCs w:val="32"/>
          <w:lang w:eastAsia="zh-CN"/>
        </w:rPr>
      </w:pPr>
    </w:p>
    <w:p>
      <w:pPr>
        <w:pStyle w:val="4"/>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7"/>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7"/>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4"/>
        <w:rPr>
          <w:rFonts w:hint="eastAsia" w:ascii="宋体" w:hAnsi="宋体" w:eastAsia="宋体" w:cs="宋体"/>
          <w:sz w:val="32"/>
          <w:szCs w:val="32"/>
        </w:rPr>
      </w:pPr>
    </w:p>
    <w:tbl>
      <w:tblPr>
        <w:tblStyle w:val="7"/>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2010609030101010101"/>
    <w:charset w:val="86"/>
    <w:family w:val="modern"/>
    <w:pitch w:val="default"/>
    <w:sig w:usb0="00000000" w:usb1="00000000" w:usb2="00000010" w:usb3="00000000" w:csb0="00040000" w:csb1="00000000"/>
  </w:font>
  <w:font w:name="方正准圆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7"/>
      <w:numFmt w:val="decimal"/>
      <w:suff w:val="nothing"/>
      <w:lvlText w:val="%1、"/>
      <w:lvlJc w:val="left"/>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32B0CE48"/>
    <w:multiLevelType w:val="singleLevel"/>
    <w:tmpl w:val="32B0CE4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218A025F"/>
    <w:rsid w:val="218A025F"/>
    <w:rsid w:val="6A67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rPr>
      <w:rFonts w:ascii="宋体" w:hAnsi="Arial" w:eastAsia="宋体" w:cs="Times New Roman"/>
      <w:sz w:val="28"/>
    </w:rPr>
  </w:style>
  <w:style w:type="paragraph" w:styleId="5">
    <w:name w:val="Plain Text"/>
    <w:basedOn w:val="1"/>
    <w:qFormat/>
    <w:uiPriority w:val="0"/>
    <w:rPr>
      <w:rFonts w:ascii="宋体" w:hAnsi="Courier New" w:eastAsia="宋体" w:cs="Times New Roman"/>
    </w:rPr>
  </w:style>
  <w:style w:type="paragraph" w:styleId="6">
    <w:name w:val="Date"/>
    <w:basedOn w:val="1"/>
    <w:next w:val="1"/>
    <w:qFormat/>
    <w:uiPriority w:val="99"/>
  </w:style>
  <w:style w:type="paragraph" w:customStyle="1" w:styleId="9">
    <w:name w:val="Body text|92"/>
    <w:basedOn w:val="1"/>
    <w:link w:val="11"/>
    <w:qFormat/>
    <w:uiPriority w:val="0"/>
    <w:pPr>
      <w:widowControl w:val="0"/>
      <w:shd w:val="clear" w:color="auto" w:fill="FFFFFF"/>
      <w:spacing w:before="200" w:after="520" w:line="320" w:lineRule="exact"/>
    </w:pPr>
    <w:rPr>
      <w:rFonts w:ascii="PMingLiU" w:hAnsi="PMingLiU" w:eastAsia="PMingLiU" w:cs="PMingLiU"/>
      <w:sz w:val="32"/>
      <w:szCs w:val="32"/>
      <w:u w:val="none"/>
    </w:rPr>
  </w:style>
  <w:style w:type="character" w:customStyle="1" w:styleId="10">
    <w:name w:val="Body text|91"/>
    <w:basedOn w:val="11"/>
    <w:unhideWhenUsed/>
    <w:qFormat/>
    <w:uiPriority w:val="0"/>
    <w:rPr>
      <w:color w:val="000000"/>
      <w:spacing w:val="0"/>
      <w:w w:val="100"/>
      <w:position w:val="0"/>
      <w:shd w:val="clear" w:color="auto" w:fill="FFFFFF"/>
      <w:lang w:val="zh-CN" w:eastAsia="zh-CN" w:bidi="zh-CN"/>
    </w:rPr>
  </w:style>
  <w:style w:type="character" w:customStyle="1" w:styleId="11">
    <w:name w:val="Body text|9_"/>
    <w:basedOn w:val="8"/>
    <w:link w:val="9"/>
    <w:qFormat/>
    <w:uiPriority w:val="0"/>
    <w:rPr>
      <w:rFonts w:ascii="PMingLiU" w:hAnsi="PMingLiU" w:eastAsia="PMingLiU" w:cs="PMingLiU"/>
      <w:sz w:val="32"/>
      <w:szCs w:val="32"/>
      <w:u w:val="none"/>
    </w:rPr>
  </w:style>
  <w:style w:type="paragraph" w:customStyle="1" w:styleId="12">
    <w:name w:val="Body text|21"/>
    <w:basedOn w:val="1"/>
    <w:link w:val="14"/>
    <w:qFormat/>
    <w:uiPriority w:val="0"/>
    <w:pPr>
      <w:widowControl w:val="0"/>
      <w:shd w:val="clear" w:color="auto" w:fill="FFFFFF"/>
      <w:spacing w:before="220" w:line="180" w:lineRule="exact"/>
      <w:ind w:hanging="300"/>
      <w:jc w:val="distribute"/>
    </w:pPr>
    <w:rPr>
      <w:rFonts w:ascii="PMingLiU" w:hAnsi="PMingLiU" w:eastAsia="PMingLiU" w:cs="PMingLiU"/>
      <w:sz w:val="18"/>
      <w:szCs w:val="18"/>
      <w:u w:val="none"/>
    </w:rPr>
  </w:style>
  <w:style w:type="character" w:customStyle="1" w:styleId="13">
    <w:name w:val="Body text|2"/>
    <w:basedOn w:val="14"/>
    <w:unhideWhenUsed/>
    <w:qFormat/>
    <w:uiPriority w:val="0"/>
    <w:rPr>
      <w:color w:val="000000"/>
      <w:spacing w:val="0"/>
      <w:w w:val="100"/>
      <w:position w:val="0"/>
      <w:lang w:val="en-US" w:eastAsia="en-US" w:bidi="en-US"/>
    </w:rPr>
  </w:style>
  <w:style w:type="character" w:customStyle="1" w:styleId="14">
    <w:name w:val="Body text|2_"/>
    <w:basedOn w:val="8"/>
    <w:link w:val="12"/>
    <w:qFormat/>
    <w:uiPriority w:val="0"/>
    <w:rPr>
      <w:rFonts w:ascii="PMingLiU" w:hAnsi="PMingLiU" w:eastAsia="PMingLiU" w:cs="PMingLiU"/>
      <w:sz w:val="18"/>
      <w:szCs w:val="18"/>
      <w:u w:val="none"/>
    </w:rPr>
  </w:style>
  <w:style w:type="character" w:customStyle="1" w:styleId="15">
    <w:name w:val="Body text|2 + Arial"/>
    <w:basedOn w:val="14"/>
    <w:unhideWhenUsed/>
    <w:qFormat/>
    <w:uiPriority w:val="0"/>
    <w:rPr>
      <w:rFonts w:ascii="Arial" w:hAnsi="Arial" w:eastAsia="Arial" w:cs="Arial"/>
      <w:b/>
      <w:bCs/>
      <w:color w:val="000000"/>
      <w:spacing w:val="10"/>
      <w:w w:val="100"/>
      <w:position w:val="0"/>
      <w:lang w:val="en-US" w:eastAsia="en-US" w:bidi="en-US"/>
    </w:rPr>
  </w:style>
  <w:style w:type="paragraph" w:styleId="16">
    <w:name w:val="List Paragraph"/>
    <w:basedOn w:val="1"/>
    <w:uiPriority w:val="0"/>
    <w:pPr>
      <w:ind w:firstLine="420" w:firstLineChars="200"/>
    </w:pPr>
    <w:rPr>
      <w:rFonts w:ascii="Times New Roman" w:hAnsi="Times New Roman" w:eastAsia="宋体" w:cs="Times New Roman"/>
    </w:rPr>
  </w:style>
  <w:style w:type="character" w:customStyle="1" w:styleId="17">
    <w:name w:val="def"/>
    <w:basedOn w:val="8"/>
    <w:qFormat/>
    <w:uiPriority w:val="0"/>
  </w:style>
  <w:style w:type="paragraph" w:customStyle="1" w:styleId="18">
    <w:name w:val="列出段落1"/>
    <w:basedOn w:val="1"/>
    <w:qFormat/>
    <w:uiPriority w:val="34"/>
    <w:pPr>
      <w:ind w:firstLine="420" w:firstLineChars="200"/>
    </w:pPr>
  </w:style>
  <w:style w:type="character" w:customStyle="1" w:styleId="19">
    <w:name w:val="NormalCharacter"/>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13174</Words>
  <Characters>15252</Characters>
  <Lines>0</Lines>
  <Paragraphs>0</Paragraphs>
  <TotalTime>0</TotalTime>
  <ScaleCrop>false</ScaleCrop>
  <LinksUpToDate>false</LinksUpToDate>
  <CharactersWithSpaces>15747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2022-12-22T02:46:00Z</dcterms:created>
  <dc:creator>a</dc:creator>
  <cp:lastModifiedBy>a</cp:lastModifiedBy>
  <dcterms:modified xsi:type="dcterms:W3CDTF">2022-12-22T02:52:15Z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0549172D73CC487591275DD0852B20AA</vt:lpwstr>
  </property>
</Properties>
</file>