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400" w:lineRule="exact"/>
        <w:jc w:val="center"/>
        <w:textAlignment w:val="auto"/>
        <w:rPr>
          <w:rFonts w:hint="eastAsia" w:ascii="黑体" w:hAnsi="黑体" w:eastAsia="黑体" w:cs="黑体"/>
          <w:b/>
          <w:sz w:val="36"/>
          <w:szCs w:val="36"/>
        </w:rPr>
      </w:pPr>
      <w:bookmarkStart w:id="0" w:name="_Hlt519045482"/>
      <w:bookmarkEnd w:id="0"/>
      <w:bookmarkStart w:id="1" w:name="_Hlt519045553"/>
      <w:bookmarkEnd w:id="1"/>
      <w:bookmarkStart w:id="2" w:name="_Hlt519045420"/>
      <w:bookmarkEnd w:id="2"/>
      <w:bookmarkStart w:id="3" w:name="_Toc416952961"/>
      <w:bookmarkStart w:id="4" w:name="_Toc147282121"/>
      <w:bookmarkStart w:id="5" w:name="_Toc481475996"/>
      <w:r>
        <w:rPr>
          <w:rFonts w:hint="eastAsia" w:ascii="黑体" w:hAnsi="黑体" w:eastAsia="黑体" w:cs="黑体"/>
          <w:b/>
          <w:sz w:val="36"/>
          <w:szCs w:val="36"/>
        </w:rPr>
        <w:t>医疗设备采购询价</w:t>
      </w:r>
      <w:bookmarkEnd w:id="3"/>
      <w:bookmarkEnd w:id="4"/>
      <w:r>
        <w:rPr>
          <w:rFonts w:hint="eastAsia" w:ascii="黑体" w:hAnsi="黑体" w:eastAsia="黑体" w:cs="黑体"/>
          <w:b/>
          <w:sz w:val="36"/>
          <w:szCs w:val="36"/>
        </w:rPr>
        <w:t>公告</w:t>
      </w:r>
    </w:p>
    <w:p>
      <w:pPr>
        <w:keepNext w:val="0"/>
        <w:keepLines w:val="0"/>
        <w:pageBreakBefore w:val="0"/>
        <w:kinsoku/>
        <w:overflowPunct/>
        <w:topLinePunct w:val="0"/>
        <w:bidi w:val="0"/>
        <w:spacing w:line="400" w:lineRule="exact"/>
        <w:jc w:val="center"/>
        <w:textAlignment w:val="auto"/>
        <w:rPr>
          <w:rFonts w:hint="eastAsia" w:ascii="黑体" w:hAnsi="黑体" w:eastAsia="黑体" w:cs="黑体"/>
          <w:b/>
          <w:sz w:val="36"/>
          <w:szCs w:val="36"/>
        </w:rPr>
      </w:pPr>
    </w:p>
    <w:p>
      <w:pPr>
        <w:keepNext w:val="0"/>
        <w:keepLines w:val="0"/>
        <w:pageBreakBefore w:val="0"/>
        <w:kinsoku/>
        <w:overflowPunct/>
        <w:topLinePunct w:val="0"/>
        <w:bidi w:val="0"/>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根据《中华人民共和国招投标法》及相关法律法规，结合临床需要，</w:t>
      </w:r>
      <w:r>
        <w:rPr>
          <w:rFonts w:hint="eastAsia" w:ascii="仿宋_GB2312" w:hAnsi="仿宋_GB2312" w:eastAsia="仿宋_GB2312" w:cs="仿宋_GB2312"/>
          <w:kern w:val="0"/>
          <w:sz w:val="28"/>
          <w:szCs w:val="28"/>
          <w:lang w:eastAsia="zh-CN"/>
        </w:rPr>
        <w:t>广丰区</w:t>
      </w:r>
      <w:r>
        <w:rPr>
          <w:rFonts w:hint="eastAsia" w:ascii="仿宋_GB2312" w:hAnsi="仿宋_GB2312" w:eastAsia="仿宋_GB2312" w:cs="仿宋_GB2312"/>
          <w:b w:val="0"/>
          <w:bCs w:val="0"/>
          <w:kern w:val="0"/>
          <w:sz w:val="28"/>
          <w:szCs w:val="28"/>
          <w:lang w:eastAsia="zh-CN"/>
        </w:rPr>
        <w:t>中</w:t>
      </w:r>
      <w:r>
        <w:rPr>
          <w:rFonts w:hint="eastAsia" w:ascii="仿宋_GB2312" w:hAnsi="仿宋_GB2312" w:eastAsia="仿宋_GB2312" w:cs="仿宋_GB2312"/>
          <w:b w:val="0"/>
          <w:bCs w:val="0"/>
          <w:kern w:val="0"/>
          <w:sz w:val="28"/>
          <w:szCs w:val="28"/>
        </w:rPr>
        <w:t>医院</w:t>
      </w:r>
      <w:r>
        <w:rPr>
          <w:rFonts w:hint="eastAsia" w:ascii="仿宋_GB2312" w:hAnsi="仿宋_GB2312" w:eastAsia="仿宋_GB2312" w:cs="仿宋_GB2312"/>
          <w:b w:val="0"/>
          <w:bCs w:val="0"/>
          <w:kern w:val="0"/>
          <w:sz w:val="28"/>
          <w:szCs w:val="28"/>
          <w:lang w:eastAsia="zh-CN"/>
        </w:rPr>
        <w:t>高温高压脉动真空灭菌器等设备</w:t>
      </w:r>
      <w:r>
        <w:rPr>
          <w:rFonts w:hint="eastAsia" w:ascii="仿宋_GB2312" w:hAnsi="仿宋_GB2312" w:eastAsia="仿宋_GB2312" w:cs="仿宋_GB2312"/>
          <w:b w:val="0"/>
          <w:bCs w:val="0"/>
          <w:sz w:val="28"/>
          <w:szCs w:val="28"/>
        </w:rPr>
        <w:t>采购项目</w:t>
      </w:r>
      <w:r>
        <w:rPr>
          <w:rFonts w:hint="eastAsia" w:ascii="仿宋_GB2312" w:hAnsi="仿宋_GB2312" w:eastAsia="仿宋_GB2312" w:cs="仿宋_GB2312"/>
          <w:b w:val="0"/>
          <w:bCs w:val="0"/>
          <w:kern w:val="0"/>
          <w:sz w:val="28"/>
          <w:szCs w:val="28"/>
        </w:rPr>
        <w:t>进</w:t>
      </w:r>
      <w:r>
        <w:rPr>
          <w:rFonts w:hint="eastAsia" w:ascii="仿宋_GB2312" w:hAnsi="仿宋_GB2312" w:eastAsia="仿宋_GB2312" w:cs="仿宋_GB2312"/>
          <w:b w:val="0"/>
          <w:bCs w:val="0"/>
          <w:kern w:val="0"/>
          <w:sz w:val="28"/>
          <w:szCs w:val="28"/>
          <w:lang w:eastAsia="zh-CN"/>
        </w:rPr>
        <w:t>行第二次</w:t>
      </w:r>
      <w:r>
        <w:rPr>
          <w:rFonts w:hint="eastAsia" w:ascii="仿宋_GB2312" w:hAnsi="仿宋_GB2312" w:eastAsia="仿宋_GB2312" w:cs="仿宋_GB2312"/>
          <w:b w:val="0"/>
          <w:bCs w:val="0"/>
          <w:kern w:val="0"/>
          <w:sz w:val="28"/>
          <w:szCs w:val="28"/>
        </w:rPr>
        <w:t>公开询价。</w:t>
      </w:r>
      <w:r>
        <w:rPr>
          <w:rFonts w:hint="eastAsia" w:ascii="仿宋_GB2312" w:hAnsi="仿宋_GB2312" w:eastAsia="仿宋_GB2312" w:cs="仿宋_GB2312"/>
          <w:kern w:val="0"/>
          <w:sz w:val="28"/>
          <w:szCs w:val="28"/>
        </w:rPr>
        <w:t>本次公开询价情况将作为采购人编制政府釆购招标文件最高限价、主要技术指标及配置参考依据，欢迎广大符合要求的生产企业及经营企业积极参与。现将有关事项公告如下：</w:t>
      </w:r>
    </w:p>
    <w:p>
      <w:pPr>
        <w:keepNext w:val="0"/>
        <w:keepLines w:val="0"/>
        <w:pageBreakBefore w:val="0"/>
        <w:kinsoku/>
        <w:overflowPunct/>
        <w:topLinePunct w:val="0"/>
        <w:bidi w:val="0"/>
        <w:spacing w:line="400" w:lineRule="exact"/>
        <w:ind w:firstLine="560" w:firstLineChars="200"/>
        <w:textAlignment w:val="auto"/>
        <w:rPr>
          <w:rFonts w:hint="eastAsia" w:ascii="仿宋_GB2312" w:hAnsi="仿宋_GB2312" w:eastAsia="仿宋_GB2312" w:cs="仿宋_GB2312"/>
          <w:kern w:val="0"/>
          <w:sz w:val="28"/>
          <w:szCs w:val="28"/>
        </w:rPr>
      </w:pP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货物名称：</w:t>
      </w:r>
      <w:r>
        <w:rPr>
          <w:rFonts w:hint="eastAsia" w:ascii="仿宋_GB2312" w:hAnsi="仿宋_GB2312" w:eastAsia="仿宋_GB2312" w:cs="仿宋_GB2312"/>
          <w:sz w:val="28"/>
          <w:szCs w:val="28"/>
          <w:lang w:val="en-US" w:eastAsia="zh-CN"/>
        </w:rPr>
        <w:t>高温高压脉动真空灭菌器</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台</w:t>
      </w:r>
      <w:r>
        <w:rPr>
          <w:rFonts w:hint="eastAsia" w:ascii="仿宋_GB2312" w:hAnsi="仿宋_GB2312" w:eastAsia="仿宋_GB2312" w:cs="仿宋_GB2312"/>
          <w:sz w:val="28"/>
          <w:szCs w:val="28"/>
          <w:lang w:val="en-US" w:eastAsia="zh-CN"/>
        </w:rPr>
        <w:t>、超声波清洗槽一台</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lang w:val="en-US" w:eastAsia="zh-CN"/>
        </w:rPr>
      </w:pPr>
      <w:bookmarkStart w:id="21" w:name="_GoBack"/>
      <w:bookmarkEnd w:id="21"/>
    </w:p>
    <w:p>
      <w:pPr>
        <w:pStyle w:val="2"/>
        <w:jc w:val="center"/>
        <w:rPr>
          <w:rFonts w:hint="eastAsia" w:eastAsia="仿宋_GB2312"/>
          <w:b/>
          <w:bCs/>
          <w:sz w:val="32"/>
        </w:rPr>
      </w:pPr>
      <w:r>
        <w:rPr>
          <w:rFonts w:hint="eastAsia" w:eastAsia="仿宋_GB2312"/>
          <w:b/>
          <w:bCs/>
          <w:sz w:val="32"/>
        </w:rPr>
        <w:t>技术参数及要求</w:t>
      </w:r>
    </w:p>
    <w:p>
      <w:pPr>
        <w:spacing w:line="360" w:lineRule="auto"/>
        <w:rPr>
          <w:rFonts w:hint="default" w:hAnsi="宋体"/>
          <w:sz w:val="24"/>
          <w:szCs w:val="21"/>
          <w:lang w:val="en-US" w:eastAsia="zh-CN"/>
        </w:rPr>
      </w:pPr>
    </w:p>
    <w:tbl>
      <w:tblPr>
        <w:tblStyle w:val="10"/>
        <w:tblW w:w="9109"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序号</w:t>
            </w:r>
            <w:r>
              <w:rPr>
                <w:rFonts w:hint="eastAsia" w:ascii="宋体" w:hAnsi="宋体" w:cs="宋体"/>
                <w:sz w:val="21"/>
                <w:szCs w:val="21"/>
                <w:lang w:val="en-US" w:eastAsia="zh-CN"/>
              </w:rPr>
              <w:t>1</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品名：高温高压脉动真空灭菌器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灭菌室容积：</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w:t>
            </w:r>
            <w:r>
              <w:rPr>
                <w:rFonts w:hint="eastAsia" w:ascii="宋体" w:hAnsi="宋体" w:eastAsia="宋体" w:cs="宋体"/>
                <w:sz w:val="21"/>
                <w:szCs w:val="21"/>
              </w:rPr>
              <w:t>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用途：</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对耐热、耐湿物品的灭菌处理。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密封门：</w:t>
            </w:r>
          </w:p>
        </w:tc>
        <w:tc>
          <w:tcPr>
            <w:tcW w:w="6619"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双门通道型、机动门、带有压力安全联锁装置、双门互锁以保证清洁区与无菌区的有效隔离。与国际顶端焊接工艺实现接轨，门密封胶条洗槽必须镶嵌在柜体上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设计压力：</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-0.1～0.3Mpa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程序运行时间</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标准循环≤55分钟。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最高设计温度：</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灭菌器主体寿命及材质：</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0000次灭菌循环，环形加强筋结构（提供质量监督局质量证明书和蓝图注明为依据，），内腔强度和稳定性更高；内壳及夹套均为SUS304不锈钢，一类压力容器。主焊缝焊接：采用全自动等离子焊接机进行焊接，焊缝小于6毫米，等离子机器人焊机，保证压力容器寿命，克服国内手动焊接造成的气泡沙眼造成柜体的晶间腐蚀。灭菌柜主体必须是投标品牌厂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主控制系统：</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LC控制并配有彩色触摸屏人机操作界面，灭菌程序的压力、温度、时间等参数可根据需要自行设定。可通过电脑远程监控，有集中采集数据接口。实现清洗设备，水处理设备统一联网控制和质量追溯系统及相关设备实现联网，保存数据。通过同轴电缆连接于服务器，并且实现前后门有红外线扫描枪追踪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记录方式：</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根据需要可通过打印机打印；打印机为热敏打印机，多道记录，记录灭菌参数，记录清晰，使用寿命长，并根据需要随时打印参数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程序选择：</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设备具有织物、器械、橡胶、重负载、快速、液体、自定义一、自定义二程序、BD、PCD、泄露测试、干燥程序和预热程序</w:t>
            </w:r>
            <w:r>
              <w:rPr>
                <w:rFonts w:hint="eastAsia" w:ascii="宋体" w:hAnsi="宋体" w:cs="宋体"/>
                <w:sz w:val="21"/>
                <w:szCs w:val="21"/>
                <w:lang w:val="en-US" w:eastAsia="zh-CN"/>
              </w:rPr>
              <w:t>等预设程序≥32个，总预设程序≥32个</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提供照片进行佐证</w:t>
            </w:r>
            <w:r>
              <w:rPr>
                <w:rFonts w:hint="eastAsia" w:ascii="宋体" w:hAnsi="宋体" w:cs="宋体"/>
                <w:sz w:val="21"/>
                <w:szCs w:val="21"/>
                <w:lang w:eastAsia="zh-CN"/>
              </w:rPr>
              <w:t>）</w:t>
            </w:r>
            <w:r>
              <w:rPr>
                <w:rFonts w:hint="eastAsia" w:ascii="宋体" w:hAnsi="宋体" w:eastAsia="宋体" w:cs="宋体"/>
                <w:sz w:val="21"/>
                <w:szCs w:val="21"/>
              </w:rPr>
              <w:t>整个过程自动控制、有低温、高温报警和误操作保护、具有多档低温补偿装置。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气动阀门及换热装置</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知名</w:t>
            </w:r>
            <w:r>
              <w:rPr>
                <w:rFonts w:hint="eastAsia" w:ascii="宋体" w:hAnsi="宋体" w:eastAsia="宋体" w:cs="宋体"/>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加热方式</w:t>
            </w:r>
          </w:p>
        </w:tc>
        <w:tc>
          <w:tcPr>
            <w:tcW w:w="6619" w:type="dxa"/>
            <w:noWrap w:val="0"/>
            <w:vAlign w:val="center"/>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内置蒸汽发生器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抽空装置</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直联式真空泵，</w:t>
            </w:r>
            <w:r>
              <w:rPr>
                <w:rFonts w:hint="eastAsia" w:ascii="宋体" w:hAnsi="宋体" w:eastAsia="宋体" w:cs="宋体"/>
                <w:sz w:val="21"/>
                <w:szCs w:val="21"/>
                <w:lang w:val="en-US" w:eastAsia="zh-CN"/>
              </w:rPr>
              <w:t>知名</w:t>
            </w:r>
            <w:r>
              <w:rPr>
                <w:rFonts w:hint="eastAsia" w:ascii="宋体" w:hAnsi="宋体" w:eastAsia="宋体" w:cs="宋体"/>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灭菌质量要求：</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通过灭菌效果检测报告；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sz w:val="21"/>
                <w:szCs w:val="21"/>
              </w:rPr>
              <w:t>安全性能要求：</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需要通过国家：电气安全性能检测报告</w:t>
            </w:r>
            <w:r>
              <w:rPr>
                <w:rFonts w:hint="eastAsia" w:ascii="宋体" w:hAnsi="宋体" w:cs="宋体"/>
                <w:sz w:val="21"/>
                <w:szCs w:val="21"/>
                <w:lang w:val="en-US" w:eastAsia="zh-CN"/>
              </w:rPr>
              <w:t>及</w:t>
            </w:r>
            <w:r>
              <w:rPr>
                <w:rFonts w:hint="eastAsia" w:ascii="宋体" w:hAnsi="宋体" w:eastAsia="宋体" w:cs="宋体"/>
                <w:sz w:val="21"/>
                <w:szCs w:val="21"/>
              </w:rPr>
              <w:t>本产品的电磁兼容检测报告。（要求提供为有效期内的报告</w:t>
            </w:r>
            <w:r>
              <w:rPr>
                <w:rFonts w:hint="eastAsia" w:ascii="宋体" w:hAnsi="宋体" w:cs="宋体"/>
                <w:sz w:val="21"/>
                <w:szCs w:val="21"/>
                <w:lang w:val="en-US" w:eastAsia="zh-CN"/>
              </w:rPr>
              <w:t>复印件加盖公章</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资质要求</w:t>
            </w:r>
          </w:p>
        </w:tc>
        <w:tc>
          <w:tcPr>
            <w:tcW w:w="6619" w:type="dxa"/>
            <w:noWrap w:val="0"/>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高温高压脉动真空灭菌器制造商需要提供压力容器生产许可证，CE认证。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rPr>
                <w:rFonts w:hint="eastAsia" w:ascii="Times New Roman" w:hAnsi="Times New Roman" w:eastAsia="宋体" w:cs="Times New Roman"/>
                <w:b w:val="0"/>
                <w:bCs w:val="0"/>
                <w:color w:val="000000" w:themeColor="text1"/>
                <w:kern w:val="2"/>
                <w:sz w:val="21"/>
                <w:lang w:val="en-US" w:eastAsia="zh-CN" w:bidi="ar-SA"/>
                <w14:textFill>
                  <w14:solidFill>
                    <w14:schemeClr w14:val="tx1"/>
                  </w14:solidFill>
                </w14:textFill>
              </w:rPr>
            </w:pPr>
            <w:r>
              <w:rPr>
                <w:rFonts w:hint="eastAsia"/>
                <w:b w:val="0"/>
                <w:bCs w:val="0"/>
                <w:color w:val="000000" w:themeColor="text1"/>
                <w14:textFill>
                  <w14:solidFill>
                    <w14:schemeClr w14:val="tx1"/>
                  </w14:solidFill>
                </w14:textFill>
              </w:rPr>
              <w:t>设备维护</w:t>
            </w:r>
          </w:p>
        </w:tc>
        <w:tc>
          <w:tcPr>
            <w:tcW w:w="6619" w:type="dxa"/>
            <w:noWrap w:val="0"/>
            <w:vAlign w:val="center"/>
          </w:tcPr>
          <w:p>
            <w:pPr>
              <w:rPr>
                <w:rFonts w:hint="eastAsia" w:ascii="Times New Roman" w:hAnsi="Times New Roman" w:eastAsia="宋体" w:cs="Times New Roman"/>
                <w:b w:val="0"/>
                <w:bCs w:val="0"/>
                <w:color w:val="000000" w:themeColor="text1"/>
                <w:kern w:val="2"/>
                <w:sz w:val="21"/>
                <w:lang w:val="en-US" w:eastAsia="zh-CN" w:bidi="ar-SA"/>
                <w14:textFill>
                  <w14:solidFill>
                    <w14:schemeClr w14:val="tx1"/>
                  </w14:solidFill>
                </w14:textFill>
              </w:rPr>
            </w:pPr>
            <w:r>
              <w:rPr>
                <w:rFonts w:hint="eastAsia"/>
                <w:b w:val="0"/>
                <w:bCs w:val="0"/>
                <w:color w:val="000000" w:themeColor="text1"/>
                <w14:textFill>
                  <w14:solidFill>
                    <w14:schemeClr w14:val="tx1"/>
                  </w14:solidFill>
                </w14:textFill>
              </w:rPr>
              <w:t>设备生产厂家可定期对设备的温度、压力等进行验证并提供CNAS或CMA认证的第三方检测机构的检测报告(提供资质复印件加盖制造商公章)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设备配置</w:t>
            </w:r>
          </w:p>
        </w:tc>
        <w:tc>
          <w:tcPr>
            <w:tcW w:w="6619" w:type="dxa"/>
            <w:noWrap w:val="0"/>
            <w:vAlign w:val="center"/>
          </w:tcPr>
          <w:p>
            <w:pPr>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主机1台，灭菌架≥1台，外搬运车≥2辆。</w:t>
            </w:r>
          </w:p>
        </w:tc>
      </w:tr>
    </w:tbl>
    <w:p>
      <w:pPr>
        <w:tabs>
          <w:tab w:val="left" w:pos="1875"/>
        </w:tabs>
        <w:rPr>
          <w:sz w:val="24"/>
          <w:szCs w:val="21"/>
        </w:rPr>
      </w:pPr>
    </w:p>
    <w:p>
      <w:pPr>
        <w:rPr>
          <w:sz w:val="24"/>
          <w:szCs w:val="21"/>
        </w:rPr>
      </w:pPr>
    </w:p>
    <w:tbl>
      <w:tblPr>
        <w:tblStyle w:val="10"/>
        <w:tblW w:w="9109"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序号</w:t>
            </w:r>
            <w:r>
              <w:rPr>
                <w:rFonts w:hint="eastAsia" w:ascii="宋体" w:hAnsi="宋体" w:cs="宋体"/>
                <w:sz w:val="21"/>
                <w:szCs w:val="21"/>
                <w:lang w:val="en-US" w:eastAsia="zh-CN"/>
              </w:rPr>
              <w:t>2</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品名：高温高压脉动真空灭菌器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灭菌室容积：</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81</w:t>
            </w:r>
            <w:r>
              <w:rPr>
                <w:rFonts w:hint="eastAsia" w:ascii="宋体" w:hAnsi="宋体" w:eastAsia="宋体" w:cs="宋体"/>
                <w:sz w:val="21"/>
                <w:szCs w:val="21"/>
              </w:rPr>
              <w:t>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用途：</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对耐热、耐湿物品的灭菌处理。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密封门：</w:t>
            </w:r>
          </w:p>
        </w:tc>
        <w:tc>
          <w:tcPr>
            <w:tcW w:w="6619"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双门通道型、机动门、带有压力安全联锁装置、双门互锁以保证清洁区与无菌区的有效隔离。与国际顶端焊接工艺实现接轨，门密封胶条洗槽必须镶嵌在柜体上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设计压力：</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-0.1～0.3Mpa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程序运行时间</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标准循环≤55分钟。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最高设计温度：</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灭菌器主体寿命及材质：</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0000次灭菌循环，环形加强筋结构（提供质量监督局质量证明书和蓝图注明为依据，），内腔强度和稳定性更高；内壳及夹套均为SUS304不锈钢，一类压力容器。主焊缝焊接：采用全自动等离子焊接机进行焊接，焊缝小于6毫米，等离子机器人焊机，保证压力容器寿命，克服国内手动焊接造成的气泡沙眼造成柜体的晶间腐蚀。灭菌柜主体必须是投标品牌厂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主控制系统：</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LC控制并配有彩色触摸屏人机操作界面，灭菌程序的压力、温度、时间等参数可根据需要自行设定。可通过电脑远程监控，有集中采集数据接口。实现清洗设备，水处理设备统一联网控制和质量追溯系统及相关设备实现联网，保存数据。通过同轴电缆连接于服务器，并且实现前后门有红外线扫描枪追踪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记录方式：</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根据需要可通过打印机打印；打印机为热敏打印机，多道记录，记录灭菌参数，记录清晰，使用寿命长，并根据需要随时打印参数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程序选择：</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设备具有织物、器械、橡胶、重负载、快速、液体、自定义一、自定义二程序、BD、PCD、泄露测试、干燥程序和预热程序</w:t>
            </w:r>
            <w:r>
              <w:rPr>
                <w:rFonts w:hint="eastAsia" w:ascii="宋体" w:hAnsi="宋体" w:cs="宋体"/>
                <w:sz w:val="21"/>
                <w:szCs w:val="21"/>
                <w:lang w:val="en-US" w:eastAsia="zh-CN"/>
              </w:rPr>
              <w:t>等预设程序≥32个，总预设程序≥32个</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提供照片进行佐证</w:t>
            </w:r>
            <w:r>
              <w:rPr>
                <w:rFonts w:hint="eastAsia" w:ascii="宋体" w:hAnsi="宋体" w:cs="宋体"/>
                <w:sz w:val="21"/>
                <w:szCs w:val="21"/>
                <w:lang w:eastAsia="zh-CN"/>
              </w:rPr>
              <w:t>）</w:t>
            </w:r>
            <w:r>
              <w:rPr>
                <w:rFonts w:hint="eastAsia" w:ascii="宋体" w:hAnsi="宋体" w:eastAsia="宋体" w:cs="宋体"/>
                <w:sz w:val="21"/>
                <w:szCs w:val="21"/>
              </w:rPr>
              <w:t>整个过程自动控制、有低温、高温报警和误操作保护、具有多档低温补偿装置。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气动阀门及换热装置</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知名</w:t>
            </w:r>
            <w:r>
              <w:rPr>
                <w:rFonts w:hint="eastAsia" w:ascii="宋体" w:hAnsi="宋体" w:eastAsia="宋体" w:cs="宋体"/>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加热方式</w:t>
            </w:r>
          </w:p>
        </w:tc>
        <w:tc>
          <w:tcPr>
            <w:tcW w:w="6619" w:type="dxa"/>
            <w:noWrap w:val="0"/>
            <w:vAlign w:val="center"/>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内置蒸汽发生器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抽空装置</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直联式真空泵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灭菌质量要求：</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通过灭菌效果检测报告；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sz w:val="21"/>
                <w:szCs w:val="21"/>
              </w:rPr>
              <w:t>安全性能要求：</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需要通过国家：电气安全性能检测报告</w:t>
            </w:r>
            <w:r>
              <w:rPr>
                <w:rFonts w:hint="eastAsia" w:ascii="宋体" w:hAnsi="宋体" w:cs="宋体"/>
                <w:sz w:val="21"/>
                <w:szCs w:val="21"/>
                <w:lang w:val="en-US" w:eastAsia="zh-CN"/>
              </w:rPr>
              <w:t>及</w:t>
            </w:r>
            <w:r>
              <w:rPr>
                <w:rFonts w:hint="eastAsia" w:ascii="宋体" w:hAnsi="宋体" w:eastAsia="宋体" w:cs="宋体"/>
                <w:sz w:val="21"/>
                <w:szCs w:val="21"/>
              </w:rPr>
              <w:t>本产品的电磁兼容检测报告。（要求提供为有效期内的报告</w:t>
            </w:r>
            <w:r>
              <w:rPr>
                <w:rFonts w:hint="eastAsia" w:ascii="宋体" w:hAnsi="宋体" w:cs="宋体"/>
                <w:sz w:val="21"/>
                <w:szCs w:val="21"/>
                <w:lang w:val="en-US" w:eastAsia="zh-CN"/>
              </w:rPr>
              <w:t>复印件加盖公章</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资质要求</w:t>
            </w:r>
          </w:p>
        </w:tc>
        <w:tc>
          <w:tcPr>
            <w:tcW w:w="6619" w:type="dxa"/>
            <w:noWrap w:val="0"/>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高温高压脉动真空灭菌器制造商需要提供压力容器生产许可证，CE认证，ASME认证（提供复印件加盖制造商公章）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设备维护</w:t>
            </w:r>
          </w:p>
        </w:tc>
        <w:tc>
          <w:tcPr>
            <w:tcW w:w="6619" w:type="dxa"/>
            <w:noWrap w:val="0"/>
            <w:vAlign w:val="center"/>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设备生产厂家可定期对设备的温度、压力等进行验证并提供CNAS或CMA认证的第三方检测机构的检测报告(提供资质复印件加盖制造商公章)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2490" w:type="dxa"/>
            <w:noWrap w:val="0"/>
            <w:vAlign w:val="center"/>
          </w:tcPr>
          <w:p>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设备配置</w:t>
            </w:r>
          </w:p>
        </w:tc>
        <w:tc>
          <w:tcPr>
            <w:tcW w:w="6619" w:type="dxa"/>
            <w:noWrap w:val="0"/>
            <w:vAlign w:val="center"/>
          </w:tcPr>
          <w:p>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主机1台，灭菌架≥1台，外搬运车≥2辆。</w:t>
            </w:r>
          </w:p>
        </w:tc>
      </w:tr>
    </w:tbl>
    <w:p>
      <w:pPr>
        <w:rPr>
          <w:sz w:val="24"/>
          <w:szCs w:val="21"/>
        </w:rPr>
      </w:pPr>
    </w:p>
    <w:tbl>
      <w:tblPr>
        <w:tblStyle w:val="10"/>
        <w:tblpPr w:leftFromText="180" w:rightFromText="180" w:vertAnchor="text" w:horzAnchor="page" w:tblpX="1537" w:tblpY="288"/>
        <w:tblOverlap w:val="never"/>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500" w:type="dxa"/>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序号</w:t>
            </w:r>
            <w:r>
              <w:rPr>
                <w:rFonts w:hint="eastAsia" w:ascii="宋体" w:hAnsi="宋体" w:cs="宋体"/>
                <w:sz w:val="21"/>
                <w:szCs w:val="21"/>
                <w:lang w:val="en-US" w:eastAsia="zh-CN"/>
              </w:rPr>
              <w:t>3</w:t>
            </w:r>
          </w:p>
        </w:tc>
        <w:tc>
          <w:tcPr>
            <w:tcW w:w="6744"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超声波冲洗槽（煮沸槽）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6744"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用途</w:t>
            </w:r>
          </w:p>
        </w:tc>
        <w:tc>
          <w:tcPr>
            <w:tcW w:w="6744"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对器械进行</w:t>
            </w:r>
            <w:r>
              <w:rPr>
                <w:rFonts w:hint="eastAsia" w:ascii="宋体" w:hAnsi="宋体" w:cs="宋体"/>
                <w:sz w:val="21"/>
                <w:szCs w:val="21"/>
                <w:lang w:val="en-US" w:eastAsia="zh-CN"/>
              </w:rPr>
              <w:t>自动</w:t>
            </w:r>
            <w:r>
              <w:rPr>
                <w:rFonts w:hint="eastAsia" w:ascii="宋体" w:hAnsi="宋体" w:eastAsia="宋体" w:cs="宋体"/>
                <w:sz w:val="21"/>
                <w:szCs w:val="21"/>
              </w:rPr>
              <w:t>冲洗，</w:t>
            </w:r>
            <w:r>
              <w:rPr>
                <w:rFonts w:hint="eastAsia" w:ascii="宋体" w:hAnsi="宋体" w:cs="宋体"/>
                <w:sz w:val="21"/>
                <w:szCs w:val="21"/>
                <w:lang w:val="en-US" w:eastAsia="zh-CN"/>
              </w:rPr>
              <w:t>自动</w:t>
            </w:r>
            <w:r>
              <w:rPr>
                <w:rFonts w:hint="eastAsia" w:ascii="宋体" w:hAnsi="宋体" w:eastAsia="宋体" w:cs="宋体"/>
                <w:sz w:val="21"/>
                <w:szCs w:val="21"/>
              </w:rPr>
              <w:t>上油，</w:t>
            </w:r>
            <w:r>
              <w:rPr>
                <w:rFonts w:hint="eastAsia" w:ascii="宋体" w:hAnsi="宋体" w:cs="宋体"/>
                <w:sz w:val="21"/>
                <w:szCs w:val="21"/>
                <w:lang w:val="en-US" w:eastAsia="zh-CN"/>
              </w:rPr>
              <w:t>自动</w:t>
            </w:r>
            <w:r>
              <w:rPr>
                <w:rFonts w:hint="eastAsia" w:ascii="宋体" w:hAnsi="宋体" w:eastAsia="宋体" w:cs="宋体"/>
                <w:sz w:val="21"/>
                <w:szCs w:val="21"/>
              </w:rPr>
              <w:t>消毒3个功能</w:t>
            </w:r>
            <w:r>
              <w:rPr>
                <w:rFonts w:hint="eastAsia" w:ascii="宋体" w:hAnsi="宋体" w:cs="宋体"/>
                <w:sz w:val="21"/>
                <w:szCs w:val="21"/>
                <w:lang w:eastAsia="zh-CN"/>
              </w:rPr>
              <w:t>，</w:t>
            </w:r>
            <w:r>
              <w:rPr>
                <w:rFonts w:hint="eastAsia" w:ascii="宋体" w:hAnsi="宋体" w:cs="宋体"/>
                <w:sz w:val="21"/>
                <w:szCs w:val="21"/>
                <w:lang w:val="en-US" w:eastAsia="zh-CN"/>
              </w:rPr>
              <w:t>自动显示A0值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清洗槽容积：</w:t>
            </w:r>
          </w:p>
        </w:tc>
        <w:tc>
          <w:tcPr>
            <w:tcW w:w="6744"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80 升 </w:t>
            </w:r>
          </w:p>
          <w:p>
            <w:pPr>
              <w:spacing w:line="360" w:lineRule="auto"/>
              <w:rPr>
                <w:rFonts w:hint="eastAsia" w:ascii="宋体" w:hAnsi="宋体" w:eastAsia="宋体" w:cs="宋体"/>
                <w:sz w:val="21"/>
                <w:szCs w:val="21"/>
              </w:rPr>
            </w:pPr>
            <w:r>
              <w:rPr>
                <w:rFonts w:hint="eastAsia" w:ascii="宋体" w:hAnsi="宋体" w:eastAsia="宋体" w:cs="宋体"/>
                <w:sz w:val="21"/>
                <w:szCs w:val="21"/>
              </w:rPr>
              <w:t>单内槽有效尺寸：560</w:t>
            </w:r>
            <w:r>
              <w:rPr>
                <w:rFonts w:hint="eastAsia" w:ascii="宋体" w:hAnsi="宋体" w:eastAsia="宋体" w:cs="宋体"/>
                <w:sz w:val="21"/>
                <w:szCs w:val="21"/>
                <w:lang w:val="en-US" w:eastAsia="zh-CN"/>
              </w:rPr>
              <w:t>±10</w:t>
            </w:r>
            <w:r>
              <w:rPr>
                <w:rFonts w:hint="eastAsia" w:ascii="宋体" w:hAnsi="宋体" w:eastAsia="宋体" w:cs="宋体"/>
                <w:sz w:val="21"/>
                <w:szCs w:val="21"/>
              </w:rPr>
              <w:t>*450</w:t>
            </w:r>
            <w:r>
              <w:rPr>
                <w:rFonts w:hint="eastAsia" w:ascii="宋体" w:hAnsi="宋体" w:eastAsia="宋体" w:cs="宋体"/>
                <w:sz w:val="21"/>
                <w:szCs w:val="21"/>
                <w:lang w:val="en-US" w:eastAsia="zh-CN"/>
              </w:rPr>
              <w:t>±10</w:t>
            </w:r>
            <w:r>
              <w:rPr>
                <w:rFonts w:hint="eastAsia" w:ascii="宋体" w:hAnsi="宋体" w:eastAsia="宋体" w:cs="宋体"/>
                <w:sz w:val="21"/>
                <w:szCs w:val="21"/>
              </w:rPr>
              <w:t>*320</w:t>
            </w:r>
            <w:r>
              <w:rPr>
                <w:rFonts w:hint="eastAsia" w:ascii="宋体" w:hAnsi="宋体" w:eastAsia="宋体" w:cs="宋体"/>
                <w:sz w:val="21"/>
                <w:szCs w:val="21"/>
                <w:lang w:val="en-US" w:eastAsia="zh-CN"/>
              </w:rPr>
              <w:t>±10</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单外槽有效尺寸：800</w:t>
            </w:r>
            <w:r>
              <w:rPr>
                <w:rFonts w:hint="eastAsia" w:ascii="宋体" w:hAnsi="宋体" w:eastAsia="宋体" w:cs="宋体"/>
                <w:sz w:val="21"/>
                <w:szCs w:val="21"/>
                <w:lang w:val="en-US" w:eastAsia="zh-CN"/>
              </w:rPr>
              <w:t>±10</w:t>
            </w:r>
            <w:r>
              <w:rPr>
                <w:rFonts w:hint="eastAsia" w:ascii="宋体" w:hAnsi="宋体" w:eastAsia="宋体" w:cs="宋体"/>
                <w:sz w:val="21"/>
                <w:szCs w:val="21"/>
              </w:rPr>
              <w:t>*705</w:t>
            </w:r>
            <w:r>
              <w:rPr>
                <w:rFonts w:hint="eastAsia" w:ascii="宋体" w:hAnsi="宋体" w:eastAsia="宋体" w:cs="宋体"/>
                <w:sz w:val="21"/>
                <w:szCs w:val="21"/>
                <w:lang w:val="en-US" w:eastAsia="zh-CN"/>
              </w:rPr>
              <w:t>±10</w:t>
            </w:r>
            <w:r>
              <w:rPr>
                <w:rFonts w:hint="eastAsia" w:ascii="宋体" w:hAnsi="宋体" w:eastAsia="宋体" w:cs="宋体"/>
                <w:sz w:val="21"/>
                <w:szCs w:val="21"/>
              </w:rPr>
              <w:t>*800</w:t>
            </w: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槽体材质</w:t>
            </w:r>
          </w:p>
        </w:tc>
        <w:tc>
          <w:tcPr>
            <w:tcW w:w="6744"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304不锈钢。</w:t>
            </w:r>
            <w:r>
              <w:rPr>
                <w:rFonts w:hint="eastAsia" w:ascii="宋体" w:hAnsi="宋体" w:cs="宋体"/>
                <w:sz w:val="21"/>
                <w:szCs w:val="21"/>
                <w:lang w:val="en-US" w:eastAsia="zh-CN"/>
              </w:rPr>
              <w:t>槽体一次拉伸成型，无清洗死角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水位温度控制</w:t>
            </w:r>
          </w:p>
        </w:tc>
        <w:tc>
          <w:tcPr>
            <w:tcW w:w="6744"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自动，当水到达设定位置后自动停止进水，温度根据需求可调。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配置</w:t>
            </w:r>
          </w:p>
        </w:tc>
        <w:tc>
          <w:tcPr>
            <w:tcW w:w="6744" w:type="dxa"/>
            <w:noWrap w:val="0"/>
            <w:vAlign w:val="top"/>
          </w:tcPr>
          <w:p>
            <w:pPr>
              <w:pStyle w:val="7"/>
              <w:rPr>
                <w:rFonts w:hint="eastAsia"/>
              </w:rPr>
            </w:pPr>
            <w:r>
              <w:rPr>
                <w:rFonts w:hint="eastAsia"/>
              </w:rPr>
              <w:t>循环泵、排污泵、电磁阀需为</w:t>
            </w:r>
            <w:r>
              <w:rPr>
                <w:rFonts w:hint="eastAsia"/>
                <w:lang w:val="en-US" w:eastAsia="zh-CN"/>
              </w:rPr>
              <w:t>知名品牌</w:t>
            </w:r>
            <w:r>
              <w:rPr>
                <w:rFonts w:hint="eastAsia"/>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控制方式：</w:t>
            </w:r>
          </w:p>
        </w:tc>
        <w:tc>
          <w:tcPr>
            <w:tcW w:w="6744"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微电脑控制、液晶显示过程参数、参数可自行设定 </w:t>
            </w:r>
          </w:p>
        </w:tc>
      </w:tr>
    </w:tbl>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b/>
          <w:bCs/>
          <w:color w:val="000000" w:themeColor="text1"/>
          <w:sz w:val="28"/>
          <w:szCs w:val="28"/>
          <w14:textFill>
            <w14:solidFill>
              <w14:schemeClr w14:val="tx1"/>
            </w14:solidFill>
          </w14:textFill>
        </w:rPr>
        <w:t>、配置</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vanish/>
          <w:sz w:val="28"/>
          <w:szCs w:val="28"/>
        </w:rPr>
      </w:pPr>
      <w:r>
        <w:rPr>
          <w:rFonts w:hint="eastAsia" w:ascii="仿宋_GB2312" w:hAnsi="仿宋_GB2312" w:eastAsia="仿宋_GB2312" w:cs="仿宋_GB2312"/>
          <w:vanish/>
          <w:sz w:val="28"/>
          <w:szCs w:val="28"/>
        </w:rPr>
        <w:t>、</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1、交货期</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1.1、卖方在中标签订合同后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sz w:val="28"/>
          <w:szCs w:val="28"/>
        </w:rPr>
        <w:t>内设备到达买方指定地点。</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2、安装、调试与验收</w:t>
      </w:r>
    </w:p>
    <w:p>
      <w:pPr>
        <w:keepNext w:val="0"/>
        <w:keepLines w:val="0"/>
        <w:pageBreakBefore w:val="0"/>
        <w:kinsoku/>
        <w:overflowPunct/>
        <w:topLinePunct w:val="0"/>
        <w:autoSpaceDE w:val="0"/>
        <w:autoSpaceDN w:val="0"/>
        <w:bidi w:val="0"/>
        <w:adjustRightInd w:val="0"/>
        <w:snapToGrid w:val="0"/>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2.1、安装方式：卖方负责安装，安装后免费调试、培训。</w:t>
      </w:r>
    </w:p>
    <w:p>
      <w:pPr>
        <w:keepNext w:val="0"/>
        <w:keepLines w:val="0"/>
        <w:pageBreakBefore w:val="0"/>
        <w:kinsoku/>
        <w:overflowPunct/>
        <w:topLinePunct w:val="0"/>
        <w:autoSpaceDE w:val="0"/>
        <w:autoSpaceDN w:val="0"/>
        <w:bidi w:val="0"/>
        <w:adjustRightInd w:val="0"/>
        <w:snapToGrid w:val="0"/>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2.2、由买、卖双方协商安装日期，卖方于安装日派安装技术人员自带安装所需工具到达安装地点。</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2.3、安装完毕，由卖方安装检验人员检验、调试</w:t>
      </w:r>
      <w:r>
        <w:rPr>
          <w:rFonts w:hint="eastAsia" w:ascii="仿宋_GB2312" w:hAnsi="仿宋_GB2312" w:eastAsia="仿宋_GB2312" w:cs="仿宋_GB2312"/>
          <w:color w:val="000000"/>
          <w:sz w:val="28"/>
          <w:szCs w:val="28"/>
          <w:lang w:eastAsia="zh-CN"/>
        </w:rPr>
        <w:t>。</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2.4、卖方</w:t>
      </w:r>
      <w:r>
        <w:rPr>
          <w:rFonts w:hint="eastAsia" w:ascii="仿宋_GB2312" w:hAnsi="仿宋_GB2312" w:eastAsia="仿宋_GB2312" w:cs="仿宋_GB2312"/>
          <w:color w:val="000000"/>
          <w:sz w:val="28"/>
          <w:szCs w:val="28"/>
          <w:lang w:eastAsia="zh-CN"/>
        </w:rPr>
        <w:t>负责报送市场监督管理部门办证和验收。</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、售后服务及质保期： </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1、制造商原厂人员提供日常维修服务；</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2、设备发生故障时，接到买方通知后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小时内服务响应、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w:t>
      </w:r>
      <w:r>
        <w:rPr>
          <w:rFonts w:hint="eastAsia" w:ascii="仿宋_GB2312" w:hAnsi="仿宋_GB2312" w:eastAsia="仿宋_GB2312" w:cs="仿宋_GB2312"/>
          <w:color w:val="000000" w:themeColor="text1"/>
          <w:sz w:val="28"/>
          <w:szCs w:val="28"/>
          <w14:textFill>
            <w14:solidFill>
              <w14:schemeClr w14:val="tx1"/>
            </w14:solidFill>
          </w14:textFill>
        </w:rPr>
        <w:t>小时内解决故障。质保期内发生的一切费用由卖方承担，终身维修；</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3、设备提供质保期为设备验收合格后12个月，在质保期内，卖方</w:t>
      </w:r>
      <w:r>
        <w:rPr>
          <w:rFonts w:hint="eastAsia" w:ascii="仿宋_GB2312" w:hAnsi="仿宋_GB2312" w:eastAsia="仿宋_GB2312" w:cs="仿宋_GB2312"/>
          <w:sz w:val="28"/>
          <w:szCs w:val="28"/>
          <w:lang w:eastAsia="zh-CN"/>
        </w:rPr>
        <w:t>免费</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配件</w:t>
      </w:r>
      <w:r>
        <w:rPr>
          <w:rFonts w:hint="eastAsia" w:ascii="仿宋_GB2312" w:hAnsi="仿宋_GB2312" w:eastAsia="仿宋_GB2312" w:cs="仿宋_GB2312"/>
          <w:sz w:val="28"/>
          <w:szCs w:val="28"/>
        </w:rPr>
        <w:t>更换或</w:t>
      </w:r>
      <w:r>
        <w:rPr>
          <w:rFonts w:hint="eastAsia" w:ascii="仿宋_GB2312" w:hAnsi="仿宋_GB2312" w:eastAsia="仿宋_GB2312" w:cs="仿宋_GB2312"/>
          <w:sz w:val="28"/>
          <w:szCs w:val="28"/>
          <w:lang w:eastAsia="zh-CN"/>
        </w:rPr>
        <w:t>设备</w:t>
      </w:r>
      <w:r>
        <w:rPr>
          <w:rFonts w:hint="eastAsia" w:ascii="仿宋_GB2312" w:hAnsi="仿宋_GB2312" w:eastAsia="仿宋_GB2312" w:cs="仿宋_GB2312"/>
          <w:sz w:val="28"/>
          <w:szCs w:val="28"/>
        </w:rPr>
        <w:t>维护服务；</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4、质保期期满后，卖方继续为采购人提供维护服务</w:t>
      </w:r>
      <w:r>
        <w:rPr>
          <w:rFonts w:hint="eastAsia" w:ascii="仿宋_GB2312" w:hAnsi="仿宋_GB2312" w:eastAsia="仿宋_GB2312" w:cs="仿宋_GB2312"/>
          <w:sz w:val="28"/>
          <w:szCs w:val="28"/>
          <w:lang w:eastAsia="zh-CN"/>
        </w:rPr>
        <w:t>。</w:t>
      </w:r>
    </w:p>
    <w:p>
      <w:pPr>
        <w:keepNext w:val="0"/>
        <w:keepLines w:val="0"/>
        <w:pageBreakBefore w:val="0"/>
        <w:widowControl/>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w:t>
      </w:r>
      <w:r>
        <w:rPr>
          <w:rFonts w:hint="eastAsia" w:ascii="仿宋_GB2312" w:hAnsi="仿宋_GB2312" w:eastAsia="仿宋_GB2312" w:cs="仿宋_GB2312"/>
          <w:kern w:val="0"/>
          <w:sz w:val="28"/>
          <w:szCs w:val="28"/>
        </w:rPr>
        <w:t>、</w:t>
      </w:r>
      <w:r>
        <w:rPr>
          <w:rFonts w:hint="eastAsia" w:ascii="仿宋_GB2312" w:hAnsi="仿宋_GB2312" w:eastAsia="仿宋_GB2312" w:cs="仿宋_GB2312"/>
          <w:b/>
          <w:bCs/>
          <w:sz w:val="28"/>
          <w:szCs w:val="28"/>
        </w:rPr>
        <w:t>公告时间</w:t>
      </w:r>
    </w:p>
    <w:p>
      <w:pPr>
        <w:keepNext w:val="0"/>
        <w:keepLines w:val="0"/>
        <w:pageBreakBefore w:val="0"/>
        <w:widowControl/>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　　</w:t>
      </w:r>
    </w:p>
    <w:p>
      <w:pPr>
        <w:keepNext w:val="0"/>
        <w:keepLines w:val="0"/>
        <w:pageBreakBefore w:val="0"/>
        <w:kinsoku/>
        <w:overflowPunct/>
        <w:topLinePunct w:val="0"/>
        <w:autoSpaceDE/>
        <w:autoSpaceDN/>
        <w:bidi w:val="0"/>
        <w:adjustRightInd/>
        <w:spacing w:line="400" w:lineRule="exact"/>
        <w:ind w:left="1122" w:leftChars="268" w:hanging="559" w:hangingChars="199"/>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、报名时间</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地点</w:t>
      </w:r>
      <w:r>
        <w:rPr>
          <w:rFonts w:hint="eastAsia" w:ascii="仿宋_GB2312" w:hAnsi="仿宋_GB2312" w:eastAsia="仿宋_GB2312" w:cs="仿宋_GB2312"/>
          <w:b/>
          <w:bCs/>
          <w:sz w:val="28"/>
          <w:szCs w:val="28"/>
          <w:lang w:eastAsia="zh-CN"/>
        </w:rPr>
        <w:t>及方式</w:t>
      </w:r>
    </w:p>
    <w:p>
      <w:pPr>
        <w:keepNext w:val="0"/>
        <w:keepLines w:val="0"/>
        <w:pageBreakBefore w:val="0"/>
        <w:kinsoku/>
        <w:overflowPunct/>
        <w:topLinePunct w:val="0"/>
        <w:autoSpaceDE/>
        <w:autoSpaceDN/>
        <w:bidi w:val="0"/>
        <w:adjustRightInd/>
        <w:spacing w:line="400" w:lineRule="exact"/>
        <w:ind w:left="1116" w:leftChars="266" w:hanging="557" w:hangingChars="199"/>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时间：202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日（上午8:00-11:30，下午2:30-5:</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eastAsia="zh-CN"/>
        </w:rPr>
        <w:t>广丰区中医院医学装备部</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报名方式：现场报名</w:t>
      </w:r>
      <w:r>
        <w:rPr>
          <w:rFonts w:hint="eastAsia" w:ascii="仿宋_GB2312" w:hAnsi="仿宋_GB2312" w:eastAsia="仿宋_GB2312" w:cs="仿宋_GB2312"/>
          <w:sz w:val="28"/>
          <w:szCs w:val="28"/>
          <w:lang w:eastAsia="zh-CN"/>
        </w:rPr>
        <w:t>，同时递交法人授权委托书、参询代表身份证复印件及产品相关授权书复印件等验证材料。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联系人及电话：</w:t>
      </w:r>
      <w:r>
        <w:rPr>
          <w:rFonts w:hint="eastAsia" w:ascii="仿宋_GB2312" w:hAnsi="仿宋_GB2312" w:eastAsia="仿宋_GB2312" w:cs="仿宋_GB2312"/>
          <w:sz w:val="28"/>
          <w:szCs w:val="28"/>
          <w:lang w:eastAsia="zh-CN"/>
        </w:rPr>
        <w:t>甘女士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0793-2727890  13767373776</w:t>
      </w:r>
    </w:p>
    <w:p>
      <w:pPr>
        <w:keepNext w:val="0"/>
        <w:keepLines w:val="0"/>
        <w:pageBreakBefore w:val="0"/>
        <w:kinsoku/>
        <w:overflowPunct/>
        <w:topLinePunct w:val="0"/>
        <w:autoSpaceDE/>
        <w:autoSpaceDN/>
        <w:bidi w:val="0"/>
        <w:adjustRightInd/>
        <w:spacing w:line="400" w:lineRule="exact"/>
        <w:ind w:firstLine="562" w:firstLineChars="200"/>
        <w:textAlignment w:val="auto"/>
        <w:rPr>
          <w:rStyle w:val="21"/>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lang w:eastAsia="zh-CN"/>
        </w:rPr>
        <w:t>五</w:t>
      </w:r>
      <w:r>
        <w:rPr>
          <w:rFonts w:hint="eastAsia" w:ascii="仿宋_GB2312" w:hAnsi="仿宋_GB2312" w:eastAsia="仿宋_GB2312" w:cs="仿宋_GB2312"/>
          <w:b/>
          <w:bCs/>
          <w:color w:val="000000"/>
          <w:sz w:val="28"/>
          <w:szCs w:val="28"/>
        </w:rPr>
        <w:t>、</w:t>
      </w:r>
      <w:r>
        <w:rPr>
          <w:rStyle w:val="21"/>
          <w:rFonts w:hint="eastAsia" w:ascii="仿宋_GB2312" w:hAnsi="仿宋_GB2312" w:eastAsia="仿宋_GB2312" w:cs="仿宋_GB2312"/>
          <w:sz w:val="28"/>
          <w:szCs w:val="28"/>
        </w:rPr>
        <w:t>价格征询会时间、地点</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Theme="majorEastAsia" w:hAnsiTheme="majorEastAsia" w:eastAsiaTheme="majorEastAsia" w:cstheme="majorEastAsia"/>
          <w:sz w:val="28"/>
          <w:szCs w:val="28"/>
          <w:u w:val="double"/>
        </w:rPr>
      </w:pPr>
      <w:r>
        <w:rPr>
          <w:rFonts w:hint="eastAsia" w:asciiTheme="majorEastAsia" w:hAnsiTheme="majorEastAsia" w:eastAsiaTheme="majorEastAsia" w:cstheme="majorEastAsia"/>
          <w:sz w:val="28"/>
          <w:szCs w:val="28"/>
        </w:rPr>
        <w:t>时间：202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val="en-US" w:eastAsia="zh-CN"/>
        </w:rPr>
        <w:t>12</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eastAsia="zh-CN"/>
        </w:rPr>
        <w:t>下</w:t>
      </w:r>
      <w:r>
        <w:rPr>
          <w:rFonts w:hint="eastAsia" w:asciiTheme="majorEastAsia" w:hAnsiTheme="majorEastAsia" w:eastAsiaTheme="majorEastAsia" w:cstheme="majorEastAsia"/>
          <w:sz w:val="28"/>
          <w:szCs w:val="28"/>
        </w:rPr>
        <w:t>午</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:00，迟到者将被取消参询资格。</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地点：</w:t>
      </w:r>
      <w:r>
        <w:rPr>
          <w:rFonts w:hint="eastAsia" w:asciiTheme="majorEastAsia" w:hAnsiTheme="majorEastAsia" w:eastAsiaTheme="majorEastAsia" w:cstheme="majorEastAsia"/>
          <w:sz w:val="28"/>
          <w:szCs w:val="28"/>
          <w:lang w:eastAsia="zh-CN"/>
        </w:rPr>
        <w:t>广丰区中医院四楼</w:t>
      </w:r>
      <w:r>
        <w:rPr>
          <w:rFonts w:hint="eastAsia" w:asciiTheme="majorEastAsia" w:hAnsiTheme="majorEastAsia" w:eastAsiaTheme="majorEastAsia" w:cstheme="majorEastAsia"/>
          <w:sz w:val="28"/>
          <w:szCs w:val="28"/>
        </w:rPr>
        <w:t>会议室</w:t>
      </w:r>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六</w:t>
      </w:r>
      <w:r>
        <w:rPr>
          <w:rFonts w:hint="eastAsia" w:ascii="仿宋_GB2312" w:hAnsi="仿宋_GB2312" w:eastAsia="仿宋_GB2312" w:cs="仿宋_GB2312"/>
          <w:b/>
          <w:kern w:val="0"/>
          <w:sz w:val="28"/>
          <w:szCs w:val="28"/>
        </w:rPr>
        <w:t>、参询单位需提供的相关材料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1、响应函</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2、参询品种报价表（格式见附表1）；</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3、产品详细配置清单（格式见附表2） ；</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4、产品的详细参数及功能介绍；</w:t>
      </w:r>
    </w:p>
    <w:p>
      <w:pPr>
        <w:keepNext w:val="0"/>
        <w:keepLines w:val="0"/>
        <w:pageBreakBefore w:val="0"/>
        <w:tabs>
          <w:tab w:val="left" w:pos="229"/>
        </w:tabs>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5、产品使用客户名单 ( 附相关中标通知书或销售合同复印件 )；</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6、产品的资质证明材料</w:t>
      </w:r>
    </w:p>
    <w:p>
      <w:pPr>
        <w:keepNext w:val="0"/>
        <w:keepLines w:val="0"/>
        <w:pageBreakBefore w:val="0"/>
        <w:tabs>
          <w:tab w:val="left" w:pos="425"/>
        </w:tabs>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6.1营业执照（三证合一证）复印件</w:t>
      </w:r>
    </w:p>
    <w:p>
      <w:pPr>
        <w:keepNext w:val="0"/>
        <w:keepLines w:val="0"/>
        <w:pageBreakBefore w:val="0"/>
        <w:tabs>
          <w:tab w:val="left" w:pos="425"/>
        </w:tabs>
        <w:kinsoku/>
        <w:overflowPunct/>
        <w:topLinePunct w:val="0"/>
        <w:autoSpaceDE/>
        <w:autoSpaceDN/>
        <w:bidi w:val="0"/>
        <w:adjustRightInd/>
        <w:spacing w:line="400" w:lineRule="exact"/>
        <w:ind w:left="42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6.2《医疗器械生产企业许可证》或《医疗器械经营企业许可证》复印件  </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6.3医疗器械产品注册证及注册登记表复印件；</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6.4厂家售后服务内容及承诺书；</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7、产品的彩页；</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8、参询单位的资质证明材料</w:t>
      </w:r>
    </w:p>
    <w:p>
      <w:pPr>
        <w:keepNext w:val="0"/>
        <w:keepLines w:val="0"/>
        <w:pageBreakBefore w:val="0"/>
        <w:tabs>
          <w:tab w:val="left" w:pos="229"/>
        </w:tabs>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8.1营业执照（三证合一证）复印件；</w:t>
      </w:r>
    </w:p>
    <w:p>
      <w:pPr>
        <w:keepNext w:val="0"/>
        <w:keepLines w:val="0"/>
        <w:pageBreakBefore w:val="0"/>
        <w:tabs>
          <w:tab w:val="left" w:pos="229"/>
        </w:tabs>
        <w:kinsoku/>
        <w:overflowPunct/>
        <w:topLinePunct w:val="0"/>
        <w:autoSpaceDE/>
        <w:autoSpaceDN/>
        <w:bidi w:val="0"/>
        <w:adjustRightInd/>
        <w:spacing w:line="400" w:lineRule="exact"/>
        <w:ind w:left="42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8.3法人授权委托书、参询代表身份证复印件；</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8.4产品相关授权书。</w:t>
      </w:r>
    </w:p>
    <w:p>
      <w:pPr>
        <w:keepNext w:val="0"/>
        <w:keepLines w:val="0"/>
        <w:pageBreakBefore w:val="0"/>
        <w:widowControl/>
        <w:kinsoku/>
        <w:overflowPunct/>
        <w:topLinePunct w:val="0"/>
        <w:autoSpaceDE/>
        <w:autoSpaceDN/>
        <w:bidi w:val="0"/>
        <w:adjustRightInd/>
        <w:spacing w:line="400" w:lineRule="exact"/>
        <w:ind w:firstLine="560"/>
        <w:jc w:val="left"/>
        <w:textAlignment w:val="auto"/>
        <w:rPr>
          <w:rFonts w:hint="eastAsia" w:ascii="仿宋_GB2312" w:hAnsi="仿宋_GB2312" w:eastAsia="仿宋_GB2312" w:cs="仿宋_GB2312"/>
          <w:bCs/>
          <w:kern w:val="0"/>
          <w:sz w:val="28"/>
          <w:szCs w:val="28"/>
        </w:rPr>
      </w:pPr>
      <w:bookmarkStart w:id="6" w:name="_Toc416952965"/>
      <w:bookmarkStart w:id="7" w:name="_Toc147282123"/>
      <w:r>
        <w:rPr>
          <w:rFonts w:hint="eastAsia" w:ascii="仿宋_GB2312" w:hAnsi="仿宋_GB2312" w:eastAsia="仿宋_GB2312" w:cs="仿宋_GB2312"/>
          <w:kern w:val="0"/>
          <w:sz w:val="28"/>
          <w:szCs w:val="28"/>
          <w:lang w:eastAsia="zh-CN"/>
        </w:rPr>
        <w:t>以上参询文件一正四副加盖单位公章，在价格征询时递交。</w:t>
      </w:r>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w:t>
      </w:r>
      <w:bookmarkEnd w:id="6"/>
      <w:bookmarkEnd w:id="7"/>
      <w:bookmarkStart w:id="8" w:name="_Toc416952973"/>
      <w:r>
        <w:rPr>
          <w:rFonts w:hint="eastAsia" w:ascii="仿宋_GB2312" w:hAnsi="仿宋_GB2312" w:eastAsia="仿宋_GB2312" w:cs="仿宋_GB2312"/>
          <w:b/>
          <w:sz w:val="28"/>
          <w:szCs w:val="28"/>
        </w:rPr>
        <w:t>参询文件编制的注意事项</w:t>
      </w:r>
      <w:bookmarkEnd w:id="8"/>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1.1参询人应认真、仔细阅读询价文件中所有的事项、格式、条款和规范等要求；</w:t>
      </w:r>
    </w:p>
    <w:p>
      <w:pPr>
        <w:pStyle w:val="4"/>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参询人应以无线胶装的形式按投标文件的构成顺序自编目录及页码装订成册，否则文件失散引起的后果自负。</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1.3参询文件分为正、副本，副本可为正本的复印件。</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9" w:name="_Hlt509650345"/>
      <w:bookmarkEnd w:id="9"/>
      <w:r>
        <w:rPr>
          <w:rFonts w:hint="eastAsia" w:ascii="仿宋_GB2312" w:hAnsi="仿宋_GB2312" w:eastAsia="仿宋_GB2312" w:cs="仿宋_GB2312"/>
          <w:sz w:val="28"/>
          <w:szCs w:val="28"/>
        </w:rPr>
        <w:t>4参询文件及往来函件均须用中文书写。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参询人应按照询价文件的要求，规范、明确、准时的提交参询文件。如果没有按照参询文件的要求提交全部资料并保证所提供全部资料的真实性，或没有对参询文件做出实质性响应，其风险应由参询人自行承担。</w:t>
      </w:r>
      <w:bookmarkStart w:id="10" w:name="_Toc416952974"/>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八</w:t>
      </w:r>
      <w:r>
        <w:rPr>
          <w:rFonts w:hint="eastAsia" w:ascii="仿宋_GB2312" w:hAnsi="仿宋_GB2312" w:eastAsia="仿宋_GB2312" w:cs="仿宋_GB2312"/>
          <w:b/>
          <w:sz w:val="28"/>
          <w:szCs w:val="28"/>
        </w:rPr>
        <w:t>、参询报价</w:t>
      </w:r>
      <w:bookmarkEnd w:id="10"/>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1.1参询人如有不同品牌、不同规格产品参询，可分别报价；所参询品种含设备易损件及主要部件，需同时报价。</w:t>
      </w:r>
    </w:p>
    <w:p>
      <w:pPr>
        <w:pStyle w:val="4"/>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1.2所参询</w:t>
      </w:r>
      <w:r>
        <w:rPr>
          <w:rFonts w:hint="eastAsia" w:ascii="仿宋_GB2312" w:hAnsi="仿宋_GB2312" w:eastAsia="仿宋_GB2312" w:cs="仿宋_GB2312"/>
          <w:bCs/>
          <w:sz w:val="28"/>
          <w:szCs w:val="28"/>
          <w:lang w:eastAsia="zh-CN"/>
        </w:rPr>
        <w:t>产品如属限价品种，</w:t>
      </w:r>
      <w:r>
        <w:rPr>
          <w:rFonts w:hint="eastAsia" w:ascii="仿宋_GB2312" w:hAnsi="仿宋_GB2312" w:eastAsia="仿宋_GB2312" w:cs="仿宋_GB2312"/>
          <w:bCs/>
          <w:sz w:val="28"/>
          <w:szCs w:val="28"/>
        </w:rPr>
        <w:t>须同时提供江西省医用设备和医用耗材采购监管平台中医用设备（医用耗材）最高限价，报价不能超过上述限价。</w:t>
      </w:r>
      <w:bookmarkStart w:id="11" w:name="_Hlt509650572"/>
      <w:bookmarkEnd w:id="11"/>
      <w:bookmarkStart w:id="12" w:name="_Toc416952977"/>
      <w:bookmarkStart w:id="13" w:name="_Toc147282127"/>
    </w:p>
    <w:bookmarkEnd w:id="12"/>
    <w:bookmarkEnd w:id="13"/>
    <w:p>
      <w:pPr>
        <w:pStyle w:val="3"/>
        <w:keepNext w:val="0"/>
        <w:keepLines w:val="0"/>
        <w:pageBreakBefore w:val="0"/>
        <w:kinsoku/>
        <w:overflowPunct/>
        <w:topLinePunct w:val="0"/>
        <w:autoSpaceDE/>
        <w:autoSpaceDN/>
        <w:bidi w:val="0"/>
        <w:adjustRightInd/>
        <w:spacing w:line="400" w:lineRule="exact"/>
        <w:ind w:firstLine="562" w:firstLineChars="200"/>
        <w:jc w:val="both"/>
        <w:textAlignment w:val="auto"/>
        <w:rPr>
          <w:rFonts w:hint="eastAsia" w:ascii="仿宋_GB2312" w:hAnsi="仿宋_GB2312" w:eastAsia="仿宋_GB2312" w:cs="仿宋_GB2312"/>
          <w:sz w:val="28"/>
          <w:szCs w:val="28"/>
        </w:rPr>
      </w:pPr>
      <w:bookmarkStart w:id="14" w:name="_Hlt509649294"/>
      <w:bookmarkEnd w:id="14"/>
      <w:bookmarkStart w:id="15" w:name="_Toc147282128"/>
      <w:bookmarkStart w:id="16" w:name="_Toc416952979"/>
      <w:bookmarkStart w:id="17" w:name="_Toc404262315"/>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w:t>
      </w:r>
      <w:bookmarkStart w:id="18" w:name="_Hlt509649412"/>
      <w:bookmarkEnd w:id="18"/>
      <w:r>
        <w:rPr>
          <w:rFonts w:hint="eastAsia" w:ascii="仿宋_GB2312" w:hAnsi="仿宋_GB2312" w:eastAsia="仿宋_GB2312" w:cs="仿宋_GB2312"/>
          <w:sz w:val="28"/>
          <w:szCs w:val="28"/>
        </w:rPr>
        <w:t>价</w:t>
      </w:r>
      <w:bookmarkEnd w:id="15"/>
      <w:bookmarkEnd w:id="16"/>
      <w:bookmarkEnd w:id="17"/>
      <w:bookmarkStart w:id="19" w:name="_Toc404262316"/>
      <w:bookmarkStart w:id="20" w:name="_Toc416952980"/>
      <w:r>
        <w:rPr>
          <w:rFonts w:hint="eastAsia" w:ascii="仿宋_GB2312" w:hAnsi="仿宋_GB2312" w:eastAsia="仿宋_GB2312" w:cs="仿宋_GB2312"/>
          <w:sz w:val="28"/>
          <w:szCs w:val="28"/>
        </w:rPr>
        <w:t>格征询</w:t>
      </w:r>
    </w:p>
    <w:bookmarkEnd w:id="19"/>
    <w:bookmarkEnd w:id="20"/>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1.1价格征询会由</w:t>
      </w:r>
      <w:r>
        <w:rPr>
          <w:rFonts w:hint="eastAsia" w:ascii="仿宋_GB2312" w:hAnsi="仿宋_GB2312" w:eastAsia="仿宋_GB2312" w:cs="仿宋_GB2312"/>
          <w:sz w:val="28"/>
          <w:szCs w:val="28"/>
          <w:lang w:eastAsia="zh-CN"/>
        </w:rPr>
        <w:t>广丰区卫健委</w:t>
      </w:r>
      <w:r>
        <w:rPr>
          <w:rFonts w:hint="eastAsia" w:ascii="仿宋_GB2312" w:hAnsi="仿宋_GB2312" w:eastAsia="仿宋_GB2312" w:cs="仿宋_GB2312"/>
          <w:sz w:val="28"/>
          <w:szCs w:val="28"/>
        </w:rPr>
        <w:t>医疗</w:t>
      </w:r>
      <w:r>
        <w:rPr>
          <w:rFonts w:hint="eastAsia" w:ascii="仿宋_GB2312" w:hAnsi="仿宋_GB2312" w:eastAsia="仿宋_GB2312" w:cs="仿宋_GB2312"/>
          <w:sz w:val="28"/>
          <w:szCs w:val="28"/>
          <w:lang w:eastAsia="zh-CN"/>
        </w:rPr>
        <w:t>设备</w:t>
      </w:r>
      <w:r>
        <w:rPr>
          <w:rFonts w:hint="eastAsia" w:ascii="仿宋_GB2312" w:hAnsi="仿宋_GB2312" w:eastAsia="仿宋_GB2312" w:cs="仿宋_GB2312"/>
          <w:sz w:val="28"/>
          <w:szCs w:val="28"/>
        </w:rPr>
        <w:t>采购领导小组主持，邀请所有参询方、专家组成员参加，纪检部门对征询会全过程进行监督，参询方的代表人员应签到以证明其出席。</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1.2在纪检部门监督下，从专家库随机抽取</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临床</w:t>
      </w:r>
      <w:r>
        <w:rPr>
          <w:rFonts w:hint="eastAsia" w:ascii="仿宋_GB2312" w:hAnsi="仿宋_GB2312" w:eastAsia="仿宋_GB2312" w:cs="仿宋_GB2312"/>
          <w:sz w:val="28"/>
          <w:szCs w:val="28"/>
        </w:rPr>
        <w:t>专家、1名医学装备专家、共计</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名专家组成临时专家组，并由专家组成员推荐一名专家为此次价格征询会专家组组长。</w:t>
      </w:r>
    </w:p>
    <w:p>
      <w:pPr>
        <w:pStyle w:val="4"/>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1.3</w:t>
      </w:r>
      <w:r>
        <w:rPr>
          <w:rFonts w:hint="eastAsia" w:ascii="仿宋_GB2312" w:hAnsi="仿宋_GB2312" w:eastAsia="仿宋_GB2312" w:cs="仿宋_GB2312"/>
          <w:sz w:val="28"/>
          <w:szCs w:val="28"/>
        </w:rPr>
        <w:t>价格征询应做好记录。</w:t>
      </w:r>
    </w:p>
    <w:p>
      <w:pPr>
        <w:keepNext w:val="0"/>
        <w:keepLines w:val="0"/>
        <w:pageBreakBefore w:val="0"/>
        <w:kinsoku/>
        <w:overflowPunct/>
        <w:topLinePunct w:val="0"/>
        <w:autoSpaceDE/>
        <w:autoSpaceDN/>
        <w:bidi w:val="0"/>
        <w:adjustRightInd/>
        <w:spacing w:line="400" w:lineRule="exact"/>
        <w:ind w:firstLine="275" w:firstLineChars="98"/>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十</w:t>
      </w:r>
      <w:r>
        <w:rPr>
          <w:rFonts w:hint="eastAsia" w:ascii="仿宋_GB2312" w:hAnsi="仿宋_GB2312" w:eastAsia="仿宋_GB2312" w:cs="仿宋_GB2312"/>
          <w:b/>
          <w:sz w:val="28"/>
          <w:szCs w:val="28"/>
        </w:rPr>
        <w:t>、评审原则与标准</w:t>
      </w:r>
    </w:p>
    <w:p>
      <w:pPr>
        <w:pStyle w:val="4"/>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询价文件、参询文件及相关的法律法规为评审依据。</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1.2科学评估、集体决策，体现公开、公平、公正。</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1.3质量优先、价格合理、售后有保障。</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1.4以综合评价为主。</w:t>
      </w:r>
    </w:p>
    <w:p>
      <w:pPr>
        <w:keepNext w:val="0"/>
        <w:keepLines w:val="0"/>
        <w:pageBreakBefore w:val="0"/>
        <w:kinsoku/>
        <w:overflowPunct/>
        <w:topLinePunct w:val="0"/>
        <w:autoSpaceDE/>
        <w:autoSpaceDN/>
        <w:bidi w:val="0"/>
        <w:adjustRightInd/>
        <w:spacing w:line="480" w:lineRule="exact"/>
        <w:ind w:firstLine="281" w:firstLineChars="1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十一、监督受理</w:t>
      </w:r>
    </w:p>
    <w:p>
      <w:pPr>
        <w:keepNext w:val="0"/>
        <w:keepLines w:val="0"/>
        <w:pageBreakBefore w:val="0"/>
        <w:kinsoku/>
        <w:overflowPunct/>
        <w:topLinePunct w:val="0"/>
        <w:autoSpaceDE/>
        <w:autoSpaceDN/>
        <w:bidi w:val="0"/>
        <w:adjustRightInd/>
        <w:spacing w:line="480" w:lineRule="exact"/>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纪检监督电话：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广丰区中医院</w:t>
      </w:r>
    </w:p>
    <w:p>
      <w:pPr>
        <w:keepNext w:val="0"/>
        <w:keepLines w:val="0"/>
        <w:pageBreakBefore w:val="0"/>
        <w:kinsoku/>
        <w:wordWrap w:val="0"/>
        <w:overflowPunct/>
        <w:topLinePunct w:val="0"/>
        <w:bidi w:val="0"/>
        <w:spacing w:line="400" w:lineRule="exact"/>
        <w:jc w:val="righ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p>
    <w:bookmarkEnd w:id="5"/>
    <w:p>
      <w:pPr>
        <w:rPr>
          <w:sz w:val="24"/>
          <w:szCs w:val="21"/>
        </w:rPr>
      </w:pPr>
    </w:p>
    <w:sectPr>
      <w:headerReference r:id="rId3" w:type="default"/>
      <w:footerReference r:id="rId4" w:type="default"/>
      <w:pgSz w:w="11906" w:h="16838"/>
      <w:pgMar w:top="760" w:right="1800" w:bottom="6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fldChar w:fldCharType="begin"/>
    </w:r>
    <w:r>
      <w:rPr>
        <w:rStyle w:val="13"/>
      </w:rPr>
      <w:instrText xml:space="preserve">PAGE  </w:instrText>
    </w:r>
    <w:r>
      <w:fldChar w:fldCharType="separate"/>
    </w:r>
    <w:r>
      <w:rPr>
        <w:rStyle w:val="13"/>
      </w:rPr>
      <w:t>7</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A5600"/>
    <w:rsid w:val="0AE46B1B"/>
    <w:rsid w:val="0EB7283E"/>
    <w:rsid w:val="106C2643"/>
    <w:rsid w:val="1B2469E3"/>
    <w:rsid w:val="1F9E34E5"/>
    <w:rsid w:val="246C4B93"/>
    <w:rsid w:val="24814955"/>
    <w:rsid w:val="286F10A6"/>
    <w:rsid w:val="2E4455FB"/>
    <w:rsid w:val="2FB6172E"/>
    <w:rsid w:val="32F3209F"/>
    <w:rsid w:val="45562871"/>
    <w:rsid w:val="4D1B3299"/>
    <w:rsid w:val="4E115BF4"/>
    <w:rsid w:val="4F5360BE"/>
    <w:rsid w:val="55256992"/>
    <w:rsid w:val="5B211E2D"/>
    <w:rsid w:val="5BD94833"/>
    <w:rsid w:val="5DDC43E2"/>
    <w:rsid w:val="60BB6190"/>
    <w:rsid w:val="63FA669C"/>
    <w:rsid w:val="69384D6B"/>
    <w:rsid w:val="6BE60F88"/>
    <w:rsid w:val="6D36169E"/>
    <w:rsid w:val="6D3B3D66"/>
    <w:rsid w:val="71F03EBE"/>
    <w:rsid w:val="76D37740"/>
    <w:rsid w:val="77E965E0"/>
    <w:rsid w:val="7B77567B"/>
    <w:rsid w:val="7C28016B"/>
    <w:rsid w:val="7C342576"/>
    <w:rsid w:val="7FED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宋体"/>
      <w:sz w:val="28"/>
    </w:rPr>
  </w:style>
  <w:style w:type="paragraph" w:styleId="3">
    <w:name w:val="heading 2"/>
    <w:basedOn w:val="4"/>
    <w:next w:val="1"/>
    <w:link w:val="21"/>
    <w:qFormat/>
    <w:uiPriority w:val="0"/>
    <w:pPr>
      <w:snapToGrid w:val="0"/>
      <w:spacing w:line="440" w:lineRule="exact"/>
      <w:jc w:val="center"/>
      <w:outlineLvl w:val="1"/>
    </w:pPr>
    <w:rPr>
      <w:b/>
      <w:sz w:val="32"/>
      <w:szCs w:val="32"/>
    </w:rPr>
  </w:style>
  <w:style w:type="paragraph" w:styleId="5">
    <w:name w:val="heading 3"/>
    <w:basedOn w:val="1"/>
    <w:next w:val="1"/>
    <w:qFormat/>
    <w:uiPriority w:val="99"/>
    <w:pPr>
      <w:keepNext/>
      <w:keepLines/>
      <w:spacing w:before="260" w:after="260" w:line="413"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6">
    <w:name w:val="annotation text"/>
    <w:basedOn w:val="1"/>
    <w:qFormat/>
    <w:uiPriority w:val="99"/>
    <w:pPr>
      <w:widowControl w:val="0"/>
      <w:adjustRightInd/>
      <w:snapToGrid/>
      <w:spacing w:after="0" w:line="480" w:lineRule="exact"/>
      <w:ind w:firstLine="200" w:firstLineChars="200"/>
    </w:pPr>
    <w:rPr>
      <w:rFonts w:ascii="微软雅黑" w:hAnsi="微软雅黑" w:eastAsia="楷体_GB2312"/>
      <w:kern w:val="2"/>
      <w:sz w:val="28"/>
    </w:rPr>
  </w:style>
  <w:style w:type="paragraph" w:styleId="7">
    <w:name w:val="Body Text"/>
    <w:basedOn w:val="1"/>
    <w:qFormat/>
    <w:uiPriority w:val="0"/>
    <w:pPr>
      <w:spacing w:after="120" w:afterLines="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font51"/>
    <w:basedOn w:val="12"/>
    <w:qFormat/>
    <w:uiPriority w:val="0"/>
    <w:rPr>
      <w:rFonts w:ascii="Arial" w:hAnsi="Arial" w:cs="Arial"/>
      <w:color w:val="000000"/>
      <w:sz w:val="22"/>
      <w:szCs w:val="22"/>
      <w:u w:val="none"/>
    </w:rPr>
  </w:style>
  <w:style w:type="character" w:customStyle="1" w:styleId="15">
    <w:name w:val="font11"/>
    <w:basedOn w:val="12"/>
    <w:qFormat/>
    <w:uiPriority w:val="0"/>
    <w:rPr>
      <w:rFonts w:hint="eastAsia" w:ascii="宋体" w:hAnsi="宋体" w:eastAsia="宋体" w:cs="宋体"/>
      <w:color w:val="000000"/>
      <w:sz w:val="22"/>
      <w:szCs w:val="22"/>
      <w:u w:val="none"/>
    </w:rPr>
  </w:style>
  <w:style w:type="character" w:customStyle="1" w:styleId="16">
    <w:name w:val="font61"/>
    <w:basedOn w:val="12"/>
    <w:qFormat/>
    <w:uiPriority w:val="0"/>
    <w:rPr>
      <w:rFonts w:hint="eastAsia" w:ascii="宋体" w:hAnsi="宋体" w:eastAsia="宋体" w:cs="宋体"/>
      <w:color w:val="000000"/>
      <w:sz w:val="22"/>
      <w:szCs w:val="22"/>
      <w:u w:val="none"/>
    </w:rPr>
  </w:style>
  <w:style w:type="character" w:customStyle="1" w:styleId="17">
    <w:name w:val="font01"/>
    <w:basedOn w:val="12"/>
    <w:qFormat/>
    <w:uiPriority w:val="0"/>
    <w:rPr>
      <w:rFonts w:hint="default" w:ascii="Arial" w:hAnsi="Arial" w:cs="Arial"/>
      <w:color w:val="000000"/>
      <w:sz w:val="22"/>
      <w:szCs w:val="22"/>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101"/>
    <w:basedOn w:val="12"/>
    <w:qFormat/>
    <w:uiPriority w:val="0"/>
    <w:rPr>
      <w:rFonts w:hint="default" w:ascii="Times New Roman" w:hAnsi="Times New Roman" w:cs="Times New Roman"/>
      <w:color w:val="000000"/>
      <w:sz w:val="22"/>
      <w:szCs w:val="22"/>
      <w:u w:val="none"/>
    </w:rPr>
  </w:style>
  <w:style w:type="paragraph" w:styleId="20">
    <w:name w:val="List Paragraph"/>
    <w:basedOn w:val="1"/>
    <w:qFormat/>
    <w:uiPriority w:val="34"/>
    <w:pPr>
      <w:adjustRightInd/>
      <w:spacing w:line="240" w:lineRule="auto"/>
      <w:ind w:firstLine="420" w:firstLineChars="200"/>
      <w:textAlignment w:val="auto"/>
    </w:pPr>
    <w:rPr>
      <w:kern w:val="2"/>
      <w:szCs w:val="24"/>
    </w:rPr>
  </w:style>
  <w:style w:type="character" w:customStyle="1" w:styleId="21">
    <w:name w:val="标题 2 Char"/>
    <w:link w:val="3"/>
    <w:qFormat/>
    <w:uiPriority w:val="0"/>
    <w:rPr>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阿好的电脑</dc:creator>
  <cp:lastModifiedBy>Administrator</cp:lastModifiedBy>
  <dcterms:modified xsi:type="dcterms:W3CDTF">2021-12-02T13:14:54Z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5EFC957C6FBB4886816EFF2C30D9DDA9</vt:lpwstr>
  </property>
</Properties>
</file>