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9852B">
      <w:pPr>
        <w:jc w:val="center"/>
        <w:rPr>
          <w:rFonts w:hint="eastAsia"/>
          <w:sz w:val="48"/>
          <w:szCs w:val="48"/>
          <w:lang w:val="en-US" w:eastAsia="zh-CN"/>
        </w:rPr>
      </w:pPr>
      <w:r>
        <w:rPr>
          <w:rFonts w:hint="eastAsia"/>
          <w:sz w:val="48"/>
          <w:szCs w:val="48"/>
          <w:lang w:val="en-US" w:eastAsia="zh-CN"/>
        </w:rPr>
        <w:t>医用耗材采购报名公告</w:t>
      </w:r>
    </w:p>
    <w:p w14:paraId="7C9C54D3">
      <w:pPr>
        <w:rPr>
          <w:rFonts w:hint="eastAsia"/>
          <w:lang w:val="en-US" w:eastAsia="zh-CN"/>
        </w:rPr>
      </w:pPr>
    </w:p>
    <w:p w14:paraId="33A203F0">
      <w:pPr>
        <w:ind w:firstLine="560" w:firstLineChars="200"/>
        <w:rPr>
          <w:rFonts w:hint="eastAsia"/>
          <w:sz w:val="28"/>
          <w:szCs w:val="28"/>
          <w:lang w:val="en-US" w:eastAsia="zh-CN"/>
        </w:rPr>
      </w:pPr>
      <w:r>
        <w:rPr>
          <w:rFonts w:hint="eastAsia"/>
          <w:sz w:val="28"/>
          <w:szCs w:val="28"/>
          <w:lang w:val="en-US" w:eastAsia="zh-CN"/>
        </w:rPr>
        <w:t>广丰区中医院因各科室临床需要，对需购进的医用耗材进行议价采购，欢迎广大符合资格条件有同类产品的意向单位积极报名。</w:t>
      </w:r>
    </w:p>
    <w:p w14:paraId="31169448">
      <w:pPr>
        <w:ind w:firstLine="560" w:firstLineChars="200"/>
        <w:rPr>
          <w:rFonts w:hint="eastAsia"/>
          <w:sz w:val="28"/>
          <w:szCs w:val="28"/>
          <w:lang w:val="en-US" w:eastAsia="zh-CN"/>
        </w:rPr>
      </w:pPr>
      <w:r>
        <w:rPr>
          <w:rFonts w:hint="eastAsia"/>
          <w:sz w:val="28"/>
          <w:szCs w:val="28"/>
          <w:lang w:val="en-US" w:eastAsia="zh-CN"/>
        </w:rPr>
        <w:t>一、产品信息</w:t>
      </w:r>
    </w:p>
    <w:p w14:paraId="05ED4332">
      <w:pPr>
        <w:numPr>
          <w:ilvl w:val="0"/>
          <w:numId w:val="0"/>
        </w:numPr>
        <w:ind w:firstLine="560" w:firstLineChars="200"/>
        <w:rPr>
          <w:rFonts w:hint="eastAsia"/>
          <w:sz w:val="28"/>
          <w:szCs w:val="28"/>
          <w:lang w:val="en-US" w:eastAsia="zh-CN"/>
        </w:rPr>
      </w:pPr>
      <w:r>
        <w:rPr>
          <w:rFonts w:hint="eastAsia"/>
          <w:sz w:val="28"/>
          <w:szCs w:val="28"/>
          <w:lang w:val="en-US" w:eastAsia="zh-CN"/>
        </w:rPr>
        <w:t>报名产品名称、规格具体信息如下表：（本项目划分为 8个标段）</w:t>
      </w:r>
    </w:p>
    <w:tbl>
      <w:tblPr>
        <w:tblStyle w:val="5"/>
        <w:tblpPr w:leftFromText="180" w:rightFromText="180" w:vertAnchor="text" w:horzAnchor="page" w:tblpX="1684" w:tblpY="548"/>
        <w:tblOverlap w:val="never"/>
        <w:tblW w:w="8569" w:type="dxa"/>
        <w:tblInd w:w="0" w:type="dxa"/>
        <w:shd w:val="clear" w:color="auto" w:fill="auto"/>
        <w:tblLayout w:type="fixed"/>
        <w:tblCellMar>
          <w:top w:w="0" w:type="dxa"/>
          <w:left w:w="0" w:type="dxa"/>
          <w:bottom w:w="0" w:type="dxa"/>
          <w:right w:w="0" w:type="dxa"/>
        </w:tblCellMar>
      </w:tblPr>
      <w:tblGrid>
        <w:gridCol w:w="543"/>
        <w:gridCol w:w="2692"/>
        <w:gridCol w:w="1234"/>
        <w:gridCol w:w="4100"/>
      </w:tblGrid>
      <w:tr w14:paraId="28CCE46D">
        <w:tblPrEx>
          <w:tblCellMar>
            <w:top w:w="0" w:type="dxa"/>
            <w:left w:w="0" w:type="dxa"/>
            <w:bottom w:w="0" w:type="dxa"/>
            <w:right w:w="0" w:type="dxa"/>
          </w:tblCellMar>
        </w:tblPrEx>
        <w:trPr>
          <w:trHeight w:val="579"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5DB4">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序  号</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27B82">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产品名称</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CA8E2">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规格</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27D60">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适用范围</w:t>
            </w:r>
          </w:p>
        </w:tc>
      </w:tr>
      <w:tr w14:paraId="12859C21">
        <w:tblPrEx>
          <w:shd w:val="clear" w:color="auto" w:fill="auto"/>
          <w:tblCellMar>
            <w:top w:w="0" w:type="dxa"/>
            <w:left w:w="0" w:type="dxa"/>
            <w:bottom w:w="0" w:type="dxa"/>
            <w:right w:w="0" w:type="dxa"/>
          </w:tblCellMar>
        </w:tblPrEx>
        <w:trPr>
          <w:trHeight w:val="667"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0E5A0">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1</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053C">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lang w:val="en-US" w:eastAsia="zh-CN"/>
              </w:rPr>
            </w:pPr>
            <w:r>
              <w:rPr>
                <w:rFonts w:hint="default"/>
                <w:lang w:val="en-US" w:eastAsia="zh-CN"/>
              </w:rPr>
              <w:t>一次性</w:t>
            </w:r>
            <w:r>
              <w:rPr>
                <w:rFonts w:hint="eastAsia"/>
                <w:lang w:val="en-US" w:eastAsia="zh-CN"/>
              </w:rPr>
              <w:t>使用皮肤吻合器</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274BD">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各规格</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707DF">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是一种用于外科手术中快速闭合皮肤切口的医疗器械。</w:t>
            </w:r>
          </w:p>
        </w:tc>
      </w:tr>
      <w:tr w14:paraId="12E18595">
        <w:tblPrEx>
          <w:shd w:val="clear" w:color="auto" w:fill="auto"/>
          <w:tblCellMar>
            <w:top w:w="0" w:type="dxa"/>
            <w:left w:w="0" w:type="dxa"/>
            <w:bottom w:w="0" w:type="dxa"/>
            <w:right w:w="0" w:type="dxa"/>
          </w:tblCellMar>
        </w:tblPrEx>
        <w:trPr>
          <w:trHeight w:val="667"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4D79B">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2</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02327">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水胶体敷料</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D5F7D">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各规格</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29221">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适用于创面引流、覆盖、填塞。</w:t>
            </w:r>
          </w:p>
        </w:tc>
      </w:tr>
      <w:tr w14:paraId="30D7FE20">
        <w:tblPrEx>
          <w:tblCellMar>
            <w:top w:w="0" w:type="dxa"/>
            <w:left w:w="0" w:type="dxa"/>
            <w:bottom w:w="0" w:type="dxa"/>
            <w:right w:w="0" w:type="dxa"/>
          </w:tblCellMar>
        </w:tblPrEx>
        <w:trPr>
          <w:trHeight w:val="667"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D24F4">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3</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81DB5">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外科冲洗防粘连液</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07FB4">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各规格</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C8BBF">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用于预防或减少腹（盆）腔手术、普通外科及骨科手术的术后粘连。产品经无菌加工技术灭菌，一次性使用。</w:t>
            </w:r>
          </w:p>
        </w:tc>
      </w:tr>
      <w:tr w14:paraId="48E60AC9">
        <w:tblPrEx>
          <w:shd w:val="clear" w:color="auto" w:fill="auto"/>
          <w:tblCellMar>
            <w:top w:w="0" w:type="dxa"/>
            <w:left w:w="0" w:type="dxa"/>
            <w:bottom w:w="0" w:type="dxa"/>
            <w:right w:w="0" w:type="dxa"/>
          </w:tblCellMar>
        </w:tblPrEx>
        <w:trPr>
          <w:trHeight w:val="667"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FB8C1">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4</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4D20">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医用妇科敷料洗液</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95623">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各规格</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BAC70">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用于缩小糜烂面，减轻局部炎症程度，减少白带增多，改善疼痛，血样和脓样带下症状。宫颈炎、阴道炎、宫颈糜烂有上述症状者均适用。</w:t>
            </w:r>
          </w:p>
        </w:tc>
      </w:tr>
      <w:tr w14:paraId="5C03DC41">
        <w:tblPrEx>
          <w:shd w:val="clear" w:color="auto" w:fill="auto"/>
          <w:tblCellMar>
            <w:top w:w="0" w:type="dxa"/>
            <w:left w:w="0" w:type="dxa"/>
            <w:bottom w:w="0" w:type="dxa"/>
            <w:right w:w="0" w:type="dxa"/>
          </w:tblCellMar>
        </w:tblPrEx>
        <w:trPr>
          <w:trHeight w:val="667"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A8CDB">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5</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F52A4">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医用功能性敷料</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B1599">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各规格</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BE9E8">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具有护创，修复创面、促进溃疡愈合的作用。</w:t>
            </w:r>
          </w:p>
        </w:tc>
      </w:tr>
      <w:tr w14:paraId="510F3440">
        <w:tblPrEx>
          <w:shd w:val="clear" w:color="auto" w:fill="auto"/>
          <w:tblCellMar>
            <w:top w:w="0" w:type="dxa"/>
            <w:left w:w="0" w:type="dxa"/>
            <w:bottom w:w="0" w:type="dxa"/>
            <w:right w:w="0" w:type="dxa"/>
          </w:tblCellMar>
        </w:tblPrEx>
        <w:trPr>
          <w:trHeight w:val="667"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C64E8">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6</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35ED2">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藻酸盐敷料</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38B48">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各规格</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524FE">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适用于覆盖创面，吸收创面渗液。</w:t>
            </w:r>
          </w:p>
        </w:tc>
      </w:tr>
      <w:tr w14:paraId="3B244F17">
        <w:tblPrEx>
          <w:shd w:val="clear" w:color="auto" w:fill="auto"/>
          <w:tblCellMar>
            <w:top w:w="0" w:type="dxa"/>
            <w:left w:w="0" w:type="dxa"/>
            <w:bottom w:w="0" w:type="dxa"/>
            <w:right w:w="0" w:type="dxa"/>
          </w:tblCellMar>
        </w:tblPrEx>
        <w:trPr>
          <w:trHeight w:val="667"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F2E1E">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7</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CE5A8">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医用几丁糖</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3C91F">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各规格</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C2A67">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适用于防治外伤性或退变性骨关节炎。</w:t>
            </w:r>
          </w:p>
        </w:tc>
      </w:tr>
      <w:tr w14:paraId="63F6074E">
        <w:tblPrEx>
          <w:shd w:val="clear" w:color="auto" w:fill="auto"/>
          <w:tblCellMar>
            <w:top w:w="0" w:type="dxa"/>
            <w:left w:w="0" w:type="dxa"/>
            <w:bottom w:w="0" w:type="dxa"/>
            <w:right w:w="0" w:type="dxa"/>
          </w:tblCellMar>
        </w:tblPrEx>
        <w:trPr>
          <w:trHeight w:val="667"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8BD43">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8</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22647">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生物护伤喷膜功能敷料</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6692D">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各规格</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7DD81">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适用于烧烫伤（1度、11度）、褥疮、痔疮、溃疡、皮肤湿疹等皮肤创面感染和口腔、咽喉、阴道等粘膜局部感染的辅助治疗。</w:t>
            </w:r>
          </w:p>
        </w:tc>
      </w:tr>
      <w:tr w14:paraId="6601D6C5">
        <w:tblPrEx>
          <w:tblCellMar>
            <w:top w:w="0" w:type="dxa"/>
            <w:left w:w="0" w:type="dxa"/>
            <w:bottom w:w="0" w:type="dxa"/>
            <w:right w:w="0" w:type="dxa"/>
          </w:tblCellMar>
        </w:tblPrEx>
        <w:trPr>
          <w:trHeight w:val="464" w:hRule="atLeast"/>
        </w:trPr>
        <w:tc>
          <w:tcPr>
            <w:tcW w:w="85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AA541">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以上8个标段参询单位可自主选择其中1个或多个标段参询并提供相应资料。</w:t>
            </w:r>
          </w:p>
        </w:tc>
      </w:tr>
    </w:tbl>
    <w:p w14:paraId="382020EF">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lang w:val="en-US" w:eastAsia="zh-CN"/>
        </w:rPr>
      </w:pPr>
    </w:p>
    <w:p w14:paraId="6891E936">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lang w:val="en-US" w:eastAsia="zh-CN"/>
        </w:rPr>
      </w:pPr>
    </w:p>
    <w:p w14:paraId="2696D7F9">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sz w:val="28"/>
          <w:szCs w:val="28"/>
          <w:lang w:val="en-US" w:eastAsia="zh-CN"/>
        </w:rPr>
      </w:pPr>
      <w:r>
        <w:rPr>
          <w:rFonts w:hint="eastAsia"/>
          <w:sz w:val="28"/>
          <w:szCs w:val="28"/>
          <w:lang w:val="en-US" w:eastAsia="zh-CN"/>
        </w:rPr>
        <w:t>二、报名单位资格要求</w:t>
      </w:r>
    </w:p>
    <w:p w14:paraId="611563FD">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sz w:val="28"/>
          <w:szCs w:val="28"/>
          <w:lang w:val="en-US" w:eastAsia="zh-CN"/>
        </w:rPr>
      </w:pPr>
      <w:r>
        <w:rPr>
          <w:rFonts w:hint="eastAsia"/>
          <w:sz w:val="28"/>
          <w:szCs w:val="28"/>
          <w:lang w:val="en-US" w:eastAsia="zh-CN"/>
        </w:rPr>
        <w:t>1.符合《中华人民共和国政府采购法》第二十二条规定,具有独立承担民事责任的能力,是中国境内注册的独立法人企业。</w:t>
      </w:r>
    </w:p>
    <w:p w14:paraId="077835FC">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sz w:val="28"/>
          <w:szCs w:val="28"/>
          <w:lang w:val="en-US" w:eastAsia="zh-CN"/>
        </w:rPr>
      </w:pPr>
      <w:r>
        <w:rPr>
          <w:rFonts w:hint="eastAsia"/>
          <w:sz w:val="28"/>
          <w:szCs w:val="28"/>
          <w:lang w:val="en-US" w:eastAsia="zh-CN"/>
        </w:rPr>
        <w:t>2.是以上采购耗材的生产企业或生产厂家授权的代理商,具有医疗器械生产或经营许可证。</w:t>
      </w:r>
    </w:p>
    <w:p w14:paraId="55DEE0AE">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sz w:val="28"/>
          <w:szCs w:val="28"/>
          <w:lang w:val="en-US" w:eastAsia="zh-CN"/>
        </w:rPr>
      </w:pPr>
      <w:r>
        <w:rPr>
          <w:rFonts w:hint="eastAsia"/>
          <w:sz w:val="28"/>
          <w:szCs w:val="28"/>
          <w:lang w:val="en-US" w:eastAsia="zh-CN"/>
        </w:rPr>
        <w:t>3.具有良好的商业信誉和健全的财务会计制度,近三年内无不良销售记录。</w:t>
      </w:r>
    </w:p>
    <w:p w14:paraId="6943F28C">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sz w:val="28"/>
          <w:szCs w:val="28"/>
          <w:lang w:val="en-US" w:eastAsia="zh-CN"/>
        </w:rPr>
      </w:pPr>
      <w:r>
        <w:rPr>
          <w:rFonts w:hint="eastAsia"/>
          <w:sz w:val="28"/>
          <w:szCs w:val="28"/>
          <w:lang w:val="en-US" w:eastAsia="zh-CN"/>
        </w:rPr>
        <w:t>4.具有履行合同、提供优质服务的能力。</w:t>
      </w:r>
    </w:p>
    <w:p w14:paraId="7285D36F">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sz w:val="28"/>
          <w:szCs w:val="28"/>
          <w:lang w:val="en-US" w:eastAsia="zh-CN"/>
        </w:rPr>
      </w:pPr>
      <w:r>
        <w:rPr>
          <w:rFonts w:hint="eastAsia"/>
          <w:sz w:val="28"/>
          <w:szCs w:val="28"/>
          <w:lang w:val="en-US" w:eastAsia="zh-CN"/>
        </w:rPr>
        <w:t>5.提供的产品质量达标、性能可靠、技术合格。</w:t>
      </w:r>
    </w:p>
    <w:p w14:paraId="0C2A4E21">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sz w:val="28"/>
          <w:szCs w:val="28"/>
          <w:lang w:val="en-US" w:eastAsia="zh-CN"/>
        </w:rPr>
      </w:pPr>
      <w:r>
        <w:rPr>
          <w:rFonts w:hint="eastAsia"/>
          <w:sz w:val="28"/>
          <w:szCs w:val="28"/>
          <w:lang w:val="en-US" w:eastAsia="zh-CN"/>
        </w:rPr>
        <w:t>三、其他要求</w:t>
      </w:r>
    </w:p>
    <w:p w14:paraId="351E917D">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sz w:val="28"/>
          <w:szCs w:val="28"/>
          <w:lang w:val="en-US" w:eastAsia="zh-CN"/>
        </w:rPr>
      </w:pPr>
      <w:r>
        <w:rPr>
          <w:rFonts w:hint="eastAsia"/>
          <w:sz w:val="28"/>
          <w:szCs w:val="28"/>
          <w:lang w:val="en-US" w:eastAsia="zh-CN"/>
        </w:rPr>
        <w:t>1.所有以上每个品种必须在江西省药品和医用耗材招采管理系统中进行挂网，所有可收费耗材必须进入江西省医保目录内。</w:t>
      </w:r>
    </w:p>
    <w:p w14:paraId="31C5C547">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60" w:lineRule="exact"/>
        <w:ind w:right="0" w:rightChars="0" w:firstLine="560" w:firstLineChars="200"/>
        <w:textAlignment w:val="auto"/>
        <w:rPr>
          <w:rFonts w:hint="eastAsia" w:ascii="Calibri" w:hAnsi="Calibri" w:eastAsia="宋体" w:cs="宋体"/>
          <w:kern w:val="2"/>
          <w:sz w:val="28"/>
          <w:szCs w:val="28"/>
          <w:lang w:val="en-US" w:eastAsia="zh-CN" w:bidi="ar-SA"/>
        </w:rPr>
      </w:pPr>
      <w:r>
        <w:rPr>
          <w:rFonts w:hint="eastAsia" w:cs="宋体"/>
          <w:kern w:val="2"/>
          <w:sz w:val="28"/>
          <w:szCs w:val="28"/>
          <w:lang w:val="en-US" w:eastAsia="zh-CN" w:bidi="ar-SA"/>
        </w:rPr>
        <w:t>2</w:t>
      </w:r>
      <w:r>
        <w:rPr>
          <w:rFonts w:hint="eastAsia" w:ascii="Calibri" w:hAnsi="Calibri" w:eastAsia="宋体" w:cs="宋体"/>
          <w:kern w:val="2"/>
          <w:sz w:val="28"/>
          <w:szCs w:val="28"/>
          <w:lang w:val="en-US" w:eastAsia="zh-CN" w:bidi="ar-SA"/>
        </w:rPr>
        <w:t>.承诺包装完好，近效期≦</w:t>
      </w:r>
      <w:r>
        <w:rPr>
          <w:rFonts w:hint="eastAsia" w:cs="宋体"/>
          <w:kern w:val="2"/>
          <w:sz w:val="28"/>
          <w:szCs w:val="28"/>
          <w:lang w:val="en-US" w:eastAsia="zh-CN" w:bidi="ar-SA"/>
        </w:rPr>
        <w:t>6</w:t>
      </w:r>
      <w:r>
        <w:rPr>
          <w:rFonts w:hint="eastAsia" w:ascii="Calibri" w:hAnsi="Calibri" w:eastAsia="宋体" w:cs="宋体"/>
          <w:kern w:val="2"/>
          <w:sz w:val="28"/>
          <w:szCs w:val="28"/>
          <w:lang w:val="en-US" w:eastAsia="zh-CN" w:bidi="ar-SA"/>
        </w:rPr>
        <w:t>个月</w:t>
      </w:r>
      <w:bookmarkStart w:id="0" w:name="_GoBack"/>
      <w:bookmarkEnd w:id="0"/>
      <w:r>
        <w:rPr>
          <w:rFonts w:hint="eastAsia" w:ascii="Calibri" w:hAnsi="Calibri" w:eastAsia="宋体" w:cs="宋体"/>
          <w:kern w:val="2"/>
          <w:sz w:val="28"/>
          <w:szCs w:val="28"/>
          <w:lang w:val="en-US" w:eastAsia="zh-CN" w:bidi="ar-SA"/>
        </w:rPr>
        <w:t>，免费予以更换</w:t>
      </w:r>
      <w:r>
        <w:rPr>
          <w:rFonts w:hint="eastAsia" w:cs="宋体"/>
          <w:kern w:val="2"/>
          <w:sz w:val="28"/>
          <w:szCs w:val="28"/>
          <w:lang w:val="en-US" w:eastAsia="zh-CN" w:bidi="ar-SA"/>
        </w:rPr>
        <w:t>。</w:t>
      </w:r>
      <w:r>
        <w:rPr>
          <w:rFonts w:hint="eastAsia" w:ascii="Calibri" w:hAnsi="Calibri" w:eastAsia="宋体" w:cs="宋体"/>
          <w:kern w:val="2"/>
          <w:sz w:val="28"/>
          <w:szCs w:val="28"/>
          <w:lang w:val="en-US" w:eastAsia="zh-CN" w:bidi="ar-SA"/>
        </w:rPr>
        <w:t>承诺接单后≦72小时内到货。</w:t>
      </w:r>
    </w:p>
    <w:p w14:paraId="0B193505">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60" w:lineRule="exact"/>
        <w:ind w:right="0" w:rightChars="0" w:firstLine="560" w:firstLineChars="200"/>
        <w:textAlignment w:val="auto"/>
        <w:rPr>
          <w:rFonts w:hint="eastAsia" w:ascii="Calibri" w:hAnsi="Calibri" w:eastAsia="宋体" w:cs="宋体"/>
          <w:kern w:val="2"/>
          <w:sz w:val="28"/>
          <w:szCs w:val="28"/>
          <w:lang w:val="en-US" w:eastAsia="zh-CN" w:bidi="ar-SA"/>
        </w:rPr>
      </w:pPr>
      <w:r>
        <w:rPr>
          <w:rFonts w:hint="eastAsia" w:ascii="Calibri" w:hAnsi="Calibri" w:eastAsia="宋体" w:cs="宋体"/>
          <w:kern w:val="2"/>
          <w:sz w:val="28"/>
          <w:szCs w:val="28"/>
          <w:lang w:val="en-US" w:eastAsia="zh-CN" w:bidi="ar-SA"/>
        </w:rPr>
        <w:t>3.参询企业每个品种须提供1-2个样品</w:t>
      </w:r>
    </w:p>
    <w:p w14:paraId="1DBA38F6">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sz w:val="28"/>
          <w:szCs w:val="28"/>
          <w:lang w:val="en-US" w:eastAsia="zh-CN"/>
        </w:rPr>
      </w:pPr>
      <w:r>
        <w:rPr>
          <w:rFonts w:hint="eastAsia"/>
          <w:sz w:val="28"/>
          <w:szCs w:val="28"/>
          <w:lang w:val="en-US" w:eastAsia="zh-CN"/>
        </w:rPr>
        <w:t>4..产品销售价格证明材料:需提供近期3张二级医院发票或清单复印件(复印件加盖公章），</w:t>
      </w:r>
    </w:p>
    <w:p w14:paraId="1822FA65">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sz w:val="28"/>
          <w:szCs w:val="28"/>
          <w:lang w:val="en-US" w:eastAsia="zh-CN"/>
        </w:rPr>
      </w:pPr>
      <w:r>
        <w:rPr>
          <w:rFonts w:hint="eastAsia"/>
          <w:sz w:val="28"/>
          <w:szCs w:val="28"/>
          <w:lang w:val="en-US" w:eastAsia="zh-CN"/>
        </w:rPr>
        <w:t>报名文件要求一正二副并加盖单位公章，在参询当日提交。</w:t>
      </w:r>
    </w:p>
    <w:p w14:paraId="1BA13637">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sz w:val="28"/>
          <w:szCs w:val="28"/>
          <w:lang w:val="en-US" w:eastAsia="zh-CN"/>
        </w:rPr>
      </w:pPr>
      <w:r>
        <w:rPr>
          <w:rFonts w:hint="eastAsia"/>
          <w:sz w:val="28"/>
          <w:szCs w:val="28"/>
          <w:lang w:val="en-US" w:eastAsia="zh-CN"/>
        </w:rPr>
        <w:t>提示：（一）、经评审鉴定样品质量，质次者，优先淘汰。</w:t>
      </w:r>
    </w:p>
    <w:p w14:paraId="0B3F8F40">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sz w:val="28"/>
          <w:szCs w:val="28"/>
          <w:lang w:val="en-US" w:eastAsia="zh-CN"/>
        </w:rPr>
      </w:pPr>
      <w:r>
        <w:rPr>
          <w:rFonts w:hint="eastAsia"/>
          <w:sz w:val="28"/>
          <w:szCs w:val="28"/>
          <w:lang w:val="en-US" w:eastAsia="zh-CN"/>
        </w:rPr>
        <w:t>（二）、投标人不足三家，不得开标。</w:t>
      </w:r>
    </w:p>
    <w:p w14:paraId="71920ED6">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sz w:val="28"/>
          <w:szCs w:val="28"/>
          <w:lang w:val="en-US" w:eastAsia="zh-CN"/>
        </w:rPr>
      </w:pPr>
      <w:r>
        <w:rPr>
          <w:rFonts w:hint="eastAsia"/>
          <w:sz w:val="28"/>
          <w:szCs w:val="28"/>
          <w:lang w:val="en-US" w:eastAsia="zh-CN"/>
        </w:rPr>
        <w:t xml:space="preserve">    （三）、合同签订后，中标人不能在两周内挂网采购的取消资格，顺延至第二位。</w:t>
      </w:r>
    </w:p>
    <w:p w14:paraId="53379FFF">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Calibri" w:hAnsi="Calibri" w:eastAsia="宋体" w:cs="宋体"/>
          <w:kern w:val="2"/>
          <w:sz w:val="28"/>
          <w:szCs w:val="28"/>
          <w:lang w:val="en-US" w:eastAsia="zh-CN" w:bidi="ar-SA"/>
        </w:rPr>
      </w:pPr>
      <w:r>
        <w:rPr>
          <w:rFonts w:hint="eastAsia" w:cs="宋体"/>
          <w:kern w:val="2"/>
          <w:sz w:val="28"/>
          <w:szCs w:val="28"/>
          <w:lang w:val="en-US" w:eastAsia="zh-CN" w:bidi="ar-SA"/>
        </w:rPr>
        <w:t>四</w:t>
      </w:r>
      <w:r>
        <w:rPr>
          <w:rFonts w:hint="eastAsia" w:ascii="Calibri" w:hAnsi="Calibri" w:eastAsia="宋体" w:cs="宋体"/>
          <w:kern w:val="2"/>
          <w:sz w:val="28"/>
          <w:szCs w:val="28"/>
          <w:lang w:val="en-US" w:eastAsia="zh-CN" w:bidi="ar-SA"/>
        </w:rPr>
        <w:t>、参选单位需提供的相关材料（下列文件资料，按顺序装订成册，文件资料必须真实，复印件必须与原件一致，不得伪造、缺项等）</w:t>
      </w:r>
    </w:p>
    <w:p w14:paraId="68AAE1A8">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Calibri" w:hAnsi="Calibri" w:eastAsia="宋体" w:cs="宋体"/>
          <w:kern w:val="2"/>
          <w:sz w:val="28"/>
          <w:szCs w:val="28"/>
          <w:lang w:val="en-US" w:eastAsia="zh-CN" w:bidi="ar-SA"/>
        </w:rPr>
      </w:pPr>
      <w:r>
        <w:rPr>
          <w:rFonts w:hint="eastAsia" w:ascii="Calibri" w:hAnsi="Calibri" w:eastAsia="宋体" w:cs="宋体"/>
          <w:kern w:val="2"/>
          <w:sz w:val="28"/>
          <w:szCs w:val="28"/>
          <w:lang w:val="en-US" w:eastAsia="zh-CN" w:bidi="ar-SA"/>
        </w:rPr>
        <w:t>1、承诺函（样式见附件1）；</w:t>
      </w:r>
    </w:p>
    <w:p w14:paraId="0686D057">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Calibri" w:hAnsi="Calibri" w:eastAsia="宋体" w:cs="宋体"/>
          <w:kern w:val="2"/>
          <w:sz w:val="28"/>
          <w:szCs w:val="28"/>
          <w:lang w:val="en-US" w:eastAsia="zh-CN" w:bidi="ar-SA"/>
        </w:rPr>
      </w:pPr>
      <w:r>
        <w:rPr>
          <w:rFonts w:hint="eastAsia" w:ascii="Calibri" w:hAnsi="Calibri" w:eastAsia="宋体" w:cs="宋体"/>
          <w:kern w:val="2"/>
          <w:sz w:val="28"/>
          <w:szCs w:val="28"/>
          <w:lang w:val="en-US" w:eastAsia="zh-CN" w:bidi="ar-SA"/>
        </w:rPr>
        <w:t>2、参选单位法人授权书、参询代表身份证复印件；</w:t>
      </w:r>
    </w:p>
    <w:p w14:paraId="2B51F7E0">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Calibri" w:hAnsi="Calibri" w:eastAsia="宋体" w:cs="宋体"/>
          <w:kern w:val="2"/>
          <w:sz w:val="28"/>
          <w:szCs w:val="28"/>
          <w:lang w:val="en-US" w:eastAsia="zh-CN" w:bidi="ar-SA"/>
        </w:rPr>
      </w:pPr>
      <w:r>
        <w:rPr>
          <w:rFonts w:hint="eastAsia" w:ascii="Calibri" w:hAnsi="Calibri" w:eastAsia="宋体" w:cs="宋体"/>
          <w:kern w:val="2"/>
          <w:sz w:val="28"/>
          <w:szCs w:val="28"/>
          <w:lang w:val="en-US" w:eastAsia="zh-CN" w:bidi="ar-SA"/>
        </w:rPr>
        <w:t>3、参选单位严格执行国家的法律法规，企业管理规范，具有健全的财务会计制度，有依法缴纳税收和社会保障资金的良好记录。具有良好的商业信誉，近三年内未因违规经营假劣医用耗材而受到处罚，参与本项目前三年内在经营活动中没有重大违法经营记录，提供上述两项内容的书面承诺函；若经发现存在上述两种情形，则采购人单方可无条件终止合作，响应人的违法行为将报送主管部门处理；</w:t>
      </w:r>
    </w:p>
    <w:p w14:paraId="789DCEFF">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Calibri" w:hAnsi="Calibri" w:eastAsia="宋体" w:cs="宋体"/>
          <w:kern w:val="2"/>
          <w:sz w:val="28"/>
          <w:szCs w:val="28"/>
          <w:lang w:val="en-US" w:eastAsia="zh-CN" w:bidi="ar-SA"/>
        </w:rPr>
      </w:pPr>
      <w:r>
        <w:rPr>
          <w:rFonts w:hint="eastAsia" w:ascii="Calibri" w:hAnsi="Calibri" w:eastAsia="宋体" w:cs="宋体"/>
          <w:kern w:val="2"/>
          <w:sz w:val="28"/>
          <w:szCs w:val="28"/>
          <w:lang w:val="en-US" w:eastAsia="zh-CN" w:bidi="ar-SA"/>
        </w:rPr>
        <w:t>4、参选公司企业证件：《营业执照》复印件、《医疗器械经营企业许可证》复印件、通过“信用中国”网（www.creditchina.gov.cn）、中国政府采购网（www.ccgp.gov.cn）的信用信息查询记录截图件（必须显示信用记录情况）；</w:t>
      </w:r>
    </w:p>
    <w:p w14:paraId="69615E75">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Calibri" w:hAnsi="Calibri" w:eastAsia="宋体" w:cs="宋体"/>
          <w:kern w:val="2"/>
          <w:sz w:val="28"/>
          <w:szCs w:val="28"/>
          <w:lang w:val="en-US" w:eastAsia="zh-CN" w:bidi="ar-SA"/>
        </w:rPr>
      </w:pPr>
      <w:r>
        <w:rPr>
          <w:rFonts w:hint="eastAsia" w:ascii="Calibri" w:hAnsi="Calibri" w:eastAsia="宋体" w:cs="宋体"/>
          <w:kern w:val="2"/>
          <w:sz w:val="28"/>
          <w:szCs w:val="28"/>
          <w:lang w:val="en-US" w:eastAsia="zh-CN" w:bidi="ar-SA"/>
        </w:rPr>
        <w:t>5、生产企业《营业执照》复印件、《医疗器械生产企业许可证》</w:t>
      </w:r>
      <w:r>
        <w:rPr>
          <w:rFonts w:hint="eastAsia" w:cs="宋体"/>
          <w:kern w:val="2"/>
          <w:sz w:val="28"/>
          <w:szCs w:val="28"/>
          <w:lang w:val="en-US" w:eastAsia="zh-CN" w:bidi="ar-SA"/>
        </w:rPr>
        <w:t>、</w:t>
      </w:r>
      <w:r>
        <w:rPr>
          <w:rFonts w:hint="eastAsia" w:ascii="Calibri" w:hAnsi="Calibri" w:eastAsia="宋体" w:cs="宋体"/>
          <w:kern w:val="2"/>
          <w:sz w:val="28"/>
          <w:szCs w:val="28"/>
          <w:lang w:val="en-US" w:eastAsia="zh-CN" w:bidi="ar-SA"/>
        </w:rPr>
        <w:t>耗材检验报告，进口产品需提供生产企业经销代理授权书；</w:t>
      </w:r>
    </w:p>
    <w:p w14:paraId="1ED2FD74">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Calibri" w:hAnsi="Calibri" w:eastAsia="宋体" w:cs="宋体"/>
          <w:kern w:val="2"/>
          <w:sz w:val="28"/>
          <w:szCs w:val="28"/>
          <w:lang w:val="en-US" w:eastAsia="zh-CN" w:bidi="ar-SA"/>
        </w:rPr>
      </w:pPr>
      <w:r>
        <w:rPr>
          <w:rFonts w:hint="eastAsia" w:ascii="Calibri" w:hAnsi="Calibri" w:eastAsia="宋体" w:cs="宋体"/>
          <w:kern w:val="2"/>
          <w:sz w:val="28"/>
          <w:szCs w:val="28"/>
          <w:lang w:val="en-US" w:eastAsia="zh-CN" w:bidi="ar-SA"/>
        </w:rPr>
        <w:t>6、</w:t>
      </w:r>
      <w:r>
        <w:rPr>
          <w:rFonts w:hint="eastAsia" w:cs="宋体"/>
          <w:kern w:val="2"/>
          <w:sz w:val="28"/>
          <w:szCs w:val="28"/>
          <w:lang w:val="en-US" w:eastAsia="zh-CN" w:bidi="ar-SA"/>
        </w:rPr>
        <w:t>卫材招标采购</w:t>
      </w:r>
      <w:r>
        <w:rPr>
          <w:rFonts w:hint="eastAsia" w:ascii="Calibri" w:hAnsi="Calibri" w:eastAsia="宋体" w:cs="宋体"/>
          <w:kern w:val="2"/>
          <w:sz w:val="28"/>
          <w:szCs w:val="28"/>
          <w:lang w:val="en-US" w:eastAsia="zh-CN" w:bidi="ar-SA"/>
        </w:rPr>
        <w:t>报价表（样式见附件</w:t>
      </w:r>
      <w:r>
        <w:rPr>
          <w:rFonts w:hint="eastAsia" w:cs="宋体"/>
          <w:kern w:val="2"/>
          <w:sz w:val="28"/>
          <w:szCs w:val="28"/>
          <w:lang w:val="en-US" w:eastAsia="zh-CN" w:bidi="ar-SA"/>
        </w:rPr>
        <w:t>1</w:t>
      </w:r>
      <w:r>
        <w:rPr>
          <w:rFonts w:hint="eastAsia" w:ascii="Calibri" w:hAnsi="Calibri" w:eastAsia="宋体" w:cs="宋体"/>
          <w:kern w:val="2"/>
          <w:sz w:val="28"/>
          <w:szCs w:val="28"/>
          <w:lang w:val="en-US" w:eastAsia="zh-CN" w:bidi="ar-SA"/>
        </w:rPr>
        <w:t>）；</w:t>
      </w:r>
    </w:p>
    <w:p w14:paraId="00DD223D">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Calibri" w:hAnsi="Calibri" w:eastAsia="宋体" w:cs="宋体"/>
          <w:kern w:val="2"/>
          <w:sz w:val="28"/>
          <w:szCs w:val="28"/>
          <w:lang w:val="en-US" w:eastAsia="zh-CN" w:bidi="ar-SA"/>
        </w:rPr>
      </w:pPr>
      <w:r>
        <w:rPr>
          <w:rFonts w:hint="eastAsia" w:ascii="Calibri" w:hAnsi="Calibri" w:eastAsia="宋体" w:cs="宋体"/>
          <w:kern w:val="2"/>
          <w:sz w:val="28"/>
          <w:szCs w:val="28"/>
          <w:lang w:val="en-US" w:eastAsia="zh-CN" w:bidi="ar-SA"/>
        </w:rPr>
        <w:t>7、参选产品市场占有情况及使用客户名单，在市场的中标情况（提供中标产品的中标公告或者合同复印件）。</w:t>
      </w:r>
    </w:p>
    <w:p w14:paraId="503F17D2">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Calibri" w:hAnsi="Calibri" w:eastAsia="宋体" w:cs="宋体"/>
          <w:kern w:val="2"/>
          <w:sz w:val="28"/>
          <w:szCs w:val="28"/>
          <w:lang w:val="en-US" w:eastAsia="zh-CN" w:bidi="ar-SA"/>
        </w:rPr>
      </w:pPr>
      <w:r>
        <w:rPr>
          <w:rFonts w:hint="eastAsia" w:ascii="Calibri" w:hAnsi="Calibri" w:eastAsia="宋体" w:cs="宋体"/>
          <w:kern w:val="2"/>
          <w:sz w:val="28"/>
          <w:szCs w:val="28"/>
          <w:lang w:val="en-US" w:eastAsia="zh-CN" w:bidi="ar-SA"/>
        </w:rPr>
        <w:t>8、参选方需提交纸质参选文件，在参选当日提交（加盖单位公章）。</w:t>
      </w:r>
    </w:p>
    <w:p w14:paraId="062FE2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cs="宋体"/>
          <w:kern w:val="2"/>
          <w:sz w:val="28"/>
          <w:szCs w:val="28"/>
          <w:lang w:val="en-US" w:eastAsia="zh-CN" w:bidi="ar-SA"/>
        </w:rPr>
      </w:pPr>
      <w:r>
        <w:rPr>
          <w:rFonts w:hint="eastAsia" w:cs="宋体"/>
          <w:kern w:val="2"/>
          <w:sz w:val="28"/>
          <w:szCs w:val="28"/>
          <w:lang w:val="en-US" w:eastAsia="zh-CN" w:bidi="ar-SA"/>
        </w:rPr>
        <w:t>五、文件编制注意事项</w:t>
      </w:r>
    </w:p>
    <w:p w14:paraId="07E2E9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eastAsia" w:ascii="Calibri" w:hAnsi="Calibri" w:eastAsia="宋体" w:cs="宋体"/>
          <w:kern w:val="2"/>
          <w:sz w:val="28"/>
          <w:szCs w:val="28"/>
          <w:lang w:val="en-US" w:eastAsia="zh-CN" w:bidi="ar-SA"/>
        </w:rPr>
      </w:pPr>
      <w:r>
        <w:rPr>
          <w:rFonts w:hint="eastAsia" w:ascii="Calibri" w:hAnsi="Calibri" w:eastAsia="宋体" w:cs="宋体"/>
          <w:kern w:val="2"/>
          <w:sz w:val="28"/>
          <w:szCs w:val="28"/>
          <w:lang w:val="en-US" w:eastAsia="zh-CN" w:bidi="ar-SA"/>
        </w:rPr>
        <w:t xml:space="preserve"> </w:t>
      </w:r>
      <w:r>
        <w:rPr>
          <w:rFonts w:hint="eastAsia" w:cs="宋体"/>
          <w:kern w:val="2"/>
          <w:sz w:val="28"/>
          <w:szCs w:val="28"/>
          <w:lang w:val="en-US" w:eastAsia="zh-CN" w:bidi="ar-SA"/>
        </w:rPr>
        <w:t xml:space="preserve">   </w:t>
      </w:r>
      <w:r>
        <w:rPr>
          <w:rFonts w:hint="eastAsia" w:ascii="Calibri" w:hAnsi="Calibri" w:eastAsia="宋体" w:cs="宋体"/>
          <w:kern w:val="2"/>
          <w:sz w:val="28"/>
          <w:szCs w:val="28"/>
          <w:lang w:val="en-US" w:eastAsia="zh-CN" w:bidi="ar-SA"/>
        </w:rPr>
        <w:t>1.</w:t>
      </w:r>
      <w:r>
        <w:rPr>
          <w:rFonts w:hint="eastAsia" w:cs="宋体"/>
          <w:kern w:val="2"/>
          <w:sz w:val="28"/>
          <w:szCs w:val="28"/>
          <w:lang w:val="en-US" w:eastAsia="zh-CN" w:bidi="ar-SA"/>
        </w:rPr>
        <w:t>报名文件按</w:t>
      </w:r>
      <w:r>
        <w:rPr>
          <w:rFonts w:hint="eastAsia" w:ascii="Calibri" w:hAnsi="Calibri" w:eastAsia="宋体" w:cs="宋体"/>
          <w:kern w:val="2"/>
          <w:sz w:val="28"/>
          <w:szCs w:val="28"/>
          <w:lang w:val="en-US" w:eastAsia="zh-CN" w:bidi="ar-SA"/>
        </w:rPr>
        <w:t>序号或顺序编制，按规定格式填写，并可按同样格式扩展，所有文件格式不得删改。</w:t>
      </w:r>
    </w:p>
    <w:p w14:paraId="65B332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eastAsia" w:ascii="Calibri" w:hAnsi="Calibri" w:eastAsia="宋体" w:cs="宋体"/>
          <w:kern w:val="2"/>
          <w:sz w:val="28"/>
          <w:szCs w:val="28"/>
          <w:lang w:val="en-US" w:eastAsia="zh-CN" w:bidi="ar-SA"/>
        </w:rPr>
      </w:pPr>
      <w:r>
        <w:rPr>
          <w:rFonts w:hint="eastAsia" w:ascii="Calibri" w:hAnsi="Calibri" w:eastAsia="宋体" w:cs="宋体"/>
          <w:kern w:val="2"/>
          <w:sz w:val="28"/>
          <w:szCs w:val="28"/>
          <w:lang w:val="en-US" w:eastAsia="zh-CN" w:bidi="ar-SA"/>
        </w:rPr>
        <w:t xml:space="preserve">  </w:t>
      </w:r>
      <w:r>
        <w:rPr>
          <w:rFonts w:hint="eastAsia" w:cs="宋体"/>
          <w:kern w:val="2"/>
          <w:sz w:val="28"/>
          <w:szCs w:val="28"/>
          <w:lang w:val="en-US" w:eastAsia="zh-CN" w:bidi="ar-SA"/>
        </w:rPr>
        <w:t xml:space="preserve">  </w:t>
      </w:r>
      <w:r>
        <w:rPr>
          <w:rFonts w:hint="eastAsia" w:ascii="Calibri" w:hAnsi="Calibri" w:eastAsia="宋体" w:cs="宋体"/>
          <w:kern w:val="2"/>
          <w:sz w:val="28"/>
          <w:szCs w:val="28"/>
          <w:lang w:val="en-US" w:eastAsia="zh-CN" w:bidi="ar-SA"/>
        </w:rPr>
        <w:t>2.</w:t>
      </w:r>
      <w:r>
        <w:rPr>
          <w:rFonts w:hint="eastAsia" w:cs="宋体"/>
          <w:kern w:val="2"/>
          <w:sz w:val="28"/>
          <w:szCs w:val="28"/>
          <w:lang w:val="en-US" w:eastAsia="zh-CN" w:bidi="ar-SA"/>
        </w:rPr>
        <w:t>报名</w:t>
      </w:r>
      <w:r>
        <w:rPr>
          <w:rFonts w:hint="eastAsia" w:ascii="Calibri" w:hAnsi="Calibri" w:eastAsia="宋体" w:cs="宋体"/>
          <w:kern w:val="2"/>
          <w:sz w:val="28"/>
          <w:szCs w:val="28"/>
          <w:lang w:val="en-US" w:eastAsia="zh-CN" w:bidi="ar-SA"/>
        </w:rPr>
        <w:t>单位应以无线胶装的形式按文件的构成顺序自编目录及页码装订成册，否则文件失散引起的后果自负。</w:t>
      </w:r>
    </w:p>
    <w:p w14:paraId="5E7A9E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eastAsia" w:ascii="Calibri" w:hAnsi="Calibri" w:eastAsia="宋体" w:cs="宋体"/>
          <w:kern w:val="2"/>
          <w:sz w:val="28"/>
          <w:szCs w:val="28"/>
          <w:lang w:val="en-US" w:eastAsia="zh-CN" w:bidi="ar-SA"/>
        </w:rPr>
      </w:pPr>
      <w:r>
        <w:rPr>
          <w:rFonts w:hint="eastAsia" w:ascii="Calibri" w:hAnsi="Calibri" w:eastAsia="宋体" w:cs="宋体"/>
          <w:kern w:val="2"/>
          <w:sz w:val="28"/>
          <w:szCs w:val="28"/>
          <w:lang w:val="en-US" w:eastAsia="zh-CN" w:bidi="ar-SA"/>
        </w:rPr>
        <w:t xml:space="preserve">  </w:t>
      </w:r>
      <w:r>
        <w:rPr>
          <w:rFonts w:hint="eastAsia" w:cs="宋体"/>
          <w:kern w:val="2"/>
          <w:sz w:val="28"/>
          <w:szCs w:val="28"/>
          <w:lang w:val="en-US" w:eastAsia="zh-CN" w:bidi="ar-SA"/>
        </w:rPr>
        <w:t xml:space="preserve">  </w:t>
      </w:r>
      <w:r>
        <w:rPr>
          <w:rFonts w:hint="eastAsia" w:ascii="Calibri" w:hAnsi="Calibri" w:eastAsia="宋体" w:cs="宋体"/>
          <w:kern w:val="2"/>
          <w:sz w:val="28"/>
          <w:szCs w:val="28"/>
          <w:lang w:val="en-US" w:eastAsia="zh-CN" w:bidi="ar-SA"/>
        </w:rPr>
        <w:t>3.</w:t>
      </w:r>
      <w:r>
        <w:rPr>
          <w:rFonts w:hint="eastAsia" w:cs="宋体"/>
          <w:kern w:val="2"/>
          <w:sz w:val="28"/>
          <w:szCs w:val="28"/>
          <w:lang w:val="en-US" w:eastAsia="zh-CN" w:bidi="ar-SA"/>
        </w:rPr>
        <w:t>报名</w:t>
      </w:r>
      <w:r>
        <w:rPr>
          <w:rFonts w:hint="eastAsia" w:ascii="Calibri" w:hAnsi="Calibri" w:eastAsia="宋体" w:cs="宋体"/>
          <w:kern w:val="2"/>
          <w:sz w:val="28"/>
          <w:szCs w:val="28"/>
          <w:lang w:val="en-US" w:eastAsia="zh-CN" w:bidi="ar-SA"/>
        </w:rPr>
        <w:t>文件及往来函件均须用中文书写。</w:t>
      </w:r>
    </w:p>
    <w:p w14:paraId="7C11B0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eastAsia" w:ascii="Calibri" w:hAnsi="Calibri" w:eastAsia="宋体" w:cs="宋体"/>
          <w:kern w:val="2"/>
          <w:sz w:val="28"/>
          <w:szCs w:val="28"/>
          <w:lang w:val="en-US" w:eastAsia="zh-CN" w:bidi="ar-SA"/>
        </w:rPr>
      </w:pPr>
      <w:r>
        <w:rPr>
          <w:rFonts w:hint="eastAsia" w:ascii="Calibri" w:hAnsi="Calibri" w:eastAsia="宋体" w:cs="宋体"/>
          <w:kern w:val="2"/>
          <w:sz w:val="28"/>
          <w:szCs w:val="28"/>
          <w:lang w:val="en-US" w:eastAsia="zh-CN" w:bidi="ar-SA"/>
        </w:rPr>
        <w:t> </w:t>
      </w:r>
      <w:r>
        <w:rPr>
          <w:rFonts w:hint="eastAsia" w:cs="宋体"/>
          <w:kern w:val="2"/>
          <w:sz w:val="28"/>
          <w:szCs w:val="28"/>
          <w:lang w:val="en-US" w:eastAsia="zh-CN" w:bidi="ar-SA"/>
        </w:rPr>
        <w:t xml:space="preserve">  </w:t>
      </w:r>
      <w:r>
        <w:rPr>
          <w:rFonts w:hint="eastAsia" w:ascii="Calibri" w:hAnsi="Calibri" w:eastAsia="宋体" w:cs="宋体"/>
          <w:kern w:val="2"/>
          <w:sz w:val="28"/>
          <w:szCs w:val="28"/>
          <w:lang w:val="en-US" w:eastAsia="zh-CN" w:bidi="ar-SA"/>
        </w:rPr>
        <w:t xml:space="preserve"> 4.</w:t>
      </w:r>
      <w:r>
        <w:rPr>
          <w:rFonts w:hint="eastAsia" w:cs="宋体"/>
          <w:kern w:val="2"/>
          <w:sz w:val="28"/>
          <w:szCs w:val="28"/>
          <w:lang w:val="en-US" w:eastAsia="zh-CN" w:bidi="ar-SA"/>
        </w:rPr>
        <w:t>报名</w:t>
      </w:r>
      <w:r>
        <w:rPr>
          <w:rFonts w:hint="eastAsia" w:ascii="Calibri" w:hAnsi="Calibri" w:eastAsia="宋体" w:cs="宋体"/>
          <w:kern w:val="2"/>
          <w:sz w:val="28"/>
          <w:szCs w:val="28"/>
          <w:lang w:val="en-US" w:eastAsia="zh-CN" w:bidi="ar-SA"/>
        </w:rPr>
        <w:t>单位必须保证提交资料的完整性、准确性、真实性，否则造成的后果由</w:t>
      </w:r>
      <w:r>
        <w:rPr>
          <w:rFonts w:hint="eastAsia" w:cs="宋体"/>
          <w:kern w:val="2"/>
          <w:sz w:val="28"/>
          <w:szCs w:val="28"/>
          <w:lang w:val="en-US" w:eastAsia="zh-CN" w:bidi="ar-SA"/>
        </w:rPr>
        <w:t>报名</w:t>
      </w:r>
      <w:r>
        <w:rPr>
          <w:rFonts w:hint="eastAsia" w:ascii="Calibri" w:hAnsi="Calibri" w:eastAsia="宋体" w:cs="宋体"/>
          <w:kern w:val="2"/>
          <w:sz w:val="28"/>
          <w:szCs w:val="28"/>
          <w:lang w:val="en-US" w:eastAsia="zh-CN" w:bidi="ar-SA"/>
        </w:rPr>
        <w:t>单位自行承</w:t>
      </w:r>
      <w:r>
        <w:rPr>
          <w:rFonts w:hint="eastAsia" w:cs="宋体"/>
          <w:kern w:val="2"/>
          <w:sz w:val="28"/>
          <w:szCs w:val="28"/>
          <w:lang w:val="en-US" w:eastAsia="zh-CN" w:bidi="ar-SA"/>
        </w:rPr>
        <w:t>担。</w:t>
      </w:r>
    </w:p>
    <w:p w14:paraId="72ED96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Calibri" w:hAnsi="Calibri" w:eastAsia="宋体" w:cs="宋体"/>
          <w:kern w:val="2"/>
          <w:sz w:val="28"/>
          <w:szCs w:val="28"/>
          <w:lang w:val="en-US" w:eastAsia="zh-CN" w:bidi="ar-SA"/>
        </w:rPr>
      </w:pPr>
      <w:r>
        <w:rPr>
          <w:rFonts w:hint="eastAsia" w:cs="宋体"/>
          <w:kern w:val="2"/>
          <w:sz w:val="28"/>
          <w:szCs w:val="28"/>
          <w:lang w:val="en-US" w:eastAsia="zh-CN" w:bidi="ar-SA"/>
        </w:rPr>
        <w:t>六</w:t>
      </w:r>
      <w:r>
        <w:rPr>
          <w:rFonts w:hint="eastAsia" w:ascii="Calibri" w:hAnsi="Calibri" w:eastAsia="宋体" w:cs="宋体"/>
          <w:kern w:val="2"/>
          <w:sz w:val="28"/>
          <w:szCs w:val="28"/>
          <w:lang w:val="en-US" w:eastAsia="zh-CN" w:bidi="ar-SA"/>
        </w:rPr>
        <w:t>、评标原则与标准</w:t>
      </w:r>
    </w:p>
    <w:p w14:paraId="5913F6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eastAsia" w:ascii="Calibri" w:hAnsi="Calibri" w:eastAsia="宋体" w:cs="宋体"/>
          <w:kern w:val="2"/>
          <w:sz w:val="28"/>
          <w:szCs w:val="28"/>
          <w:lang w:val="en-US" w:eastAsia="zh-CN" w:bidi="ar-SA"/>
        </w:rPr>
      </w:pPr>
      <w:r>
        <w:rPr>
          <w:rFonts w:hint="eastAsia" w:ascii="Calibri" w:hAnsi="Calibri" w:eastAsia="宋体" w:cs="宋体"/>
          <w:kern w:val="2"/>
          <w:sz w:val="28"/>
          <w:szCs w:val="28"/>
          <w:lang w:val="en-US" w:eastAsia="zh-CN" w:bidi="ar-SA"/>
        </w:rPr>
        <w:t> </w:t>
      </w:r>
      <w:r>
        <w:rPr>
          <w:rFonts w:hint="eastAsia" w:cs="宋体"/>
          <w:kern w:val="2"/>
          <w:sz w:val="28"/>
          <w:szCs w:val="28"/>
          <w:lang w:val="en-US" w:eastAsia="zh-CN" w:bidi="ar-SA"/>
        </w:rPr>
        <w:t xml:space="preserve">  </w:t>
      </w:r>
      <w:r>
        <w:rPr>
          <w:rFonts w:hint="eastAsia" w:ascii="Calibri" w:hAnsi="Calibri" w:eastAsia="宋体" w:cs="宋体"/>
          <w:kern w:val="2"/>
          <w:sz w:val="28"/>
          <w:szCs w:val="28"/>
          <w:lang w:val="en-US" w:eastAsia="zh-CN" w:bidi="ar-SA"/>
        </w:rPr>
        <w:t xml:space="preserve"> </w:t>
      </w:r>
      <w:r>
        <w:rPr>
          <w:rFonts w:hint="eastAsia" w:cs="宋体"/>
          <w:kern w:val="2"/>
          <w:sz w:val="28"/>
          <w:szCs w:val="28"/>
          <w:lang w:val="en-US" w:eastAsia="zh-CN" w:bidi="ar-SA"/>
        </w:rPr>
        <w:t xml:space="preserve"> </w:t>
      </w:r>
      <w:r>
        <w:rPr>
          <w:rFonts w:hint="eastAsia" w:ascii="Calibri" w:hAnsi="Calibri" w:eastAsia="宋体" w:cs="宋体"/>
          <w:kern w:val="2"/>
          <w:sz w:val="28"/>
          <w:szCs w:val="28"/>
          <w:lang w:val="en-US" w:eastAsia="zh-CN" w:bidi="ar-SA"/>
        </w:rPr>
        <w:t>1.报名公告、报名参询材料及相关的法律法规为评审依据；</w:t>
      </w:r>
    </w:p>
    <w:p w14:paraId="7E47EB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eastAsia" w:ascii="Calibri" w:hAnsi="Calibri" w:eastAsia="宋体" w:cs="宋体"/>
          <w:kern w:val="2"/>
          <w:sz w:val="28"/>
          <w:szCs w:val="28"/>
          <w:lang w:val="en-US" w:eastAsia="zh-CN" w:bidi="ar-SA"/>
        </w:rPr>
      </w:pPr>
      <w:r>
        <w:rPr>
          <w:rFonts w:hint="eastAsia" w:ascii="Calibri" w:hAnsi="Calibri" w:eastAsia="宋体" w:cs="宋体"/>
          <w:kern w:val="2"/>
          <w:sz w:val="28"/>
          <w:szCs w:val="28"/>
          <w:lang w:val="en-US" w:eastAsia="zh-CN" w:bidi="ar-SA"/>
        </w:rPr>
        <w:t xml:space="preserve"> </w:t>
      </w:r>
      <w:r>
        <w:rPr>
          <w:rFonts w:hint="eastAsia" w:cs="宋体"/>
          <w:kern w:val="2"/>
          <w:sz w:val="28"/>
          <w:szCs w:val="28"/>
          <w:lang w:val="en-US" w:eastAsia="zh-CN" w:bidi="ar-SA"/>
        </w:rPr>
        <w:t xml:space="preserve">   </w:t>
      </w:r>
      <w:r>
        <w:rPr>
          <w:rFonts w:hint="eastAsia" w:ascii="Calibri" w:hAnsi="Calibri" w:eastAsia="宋体" w:cs="宋体"/>
          <w:kern w:val="2"/>
          <w:sz w:val="28"/>
          <w:szCs w:val="28"/>
          <w:lang w:val="en-US" w:eastAsia="zh-CN" w:bidi="ar-SA"/>
        </w:rPr>
        <w:t>2.科学评估、集体决策，体现公开、公平、公正；</w:t>
      </w:r>
    </w:p>
    <w:p w14:paraId="5D13EC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eastAsia" w:ascii="Calibri" w:hAnsi="Calibri" w:eastAsia="宋体" w:cs="宋体"/>
          <w:kern w:val="2"/>
          <w:sz w:val="28"/>
          <w:szCs w:val="28"/>
          <w:lang w:val="en-US" w:eastAsia="zh-CN" w:bidi="ar-SA"/>
        </w:rPr>
      </w:pPr>
      <w:r>
        <w:rPr>
          <w:rFonts w:hint="eastAsia" w:ascii="Calibri" w:hAnsi="Calibri" w:eastAsia="宋体" w:cs="宋体"/>
          <w:kern w:val="2"/>
          <w:sz w:val="28"/>
          <w:szCs w:val="28"/>
          <w:lang w:val="en-US" w:eastAsia="zh-CN" w:bidi="ar-SA"/>
        </w:rPr>
        <w:t xml:space="preserve">  </w:t>
      </w:r>
      <w:r>
        <w:rPr>
          <w:rFonts w:hint="eastAsia" w:cs="宋体"/>
          <w:kern w:val="2"/>
          <w:sz w:val="28"/>
          <w:szCs w:val="28"/>
          <w:lang w:val="en-US" w:eastAsia="zh-CN" w:bidi="ar-SA"/>
        </w:rPr>
        <w:t xml:space="preserve">   </w:t>
      </w:r>
      <w:r>
        <w:rPr>
          <w:rFonts w:hint="eastAsia" w:ascii="Calibri" w:hAnsi="Calibri" w:eastAsia="宋体" w:cs="宋体"/>
          <w:kern w:val="2"/>
          <w:sz w:val="28"/>
          <w:szCs w:val="28"/>
          <w:lang w:val="en-US" w:eastAsia="zh-CN" w:bidi="ar-SA"/>
        </w:rPr>
        <w:t>3.质量优先、价格合理、售后有保障</w:t>
      </w:r>
      <w:r>
        <w:rPr>
          <w:rFonts w:hint="eastAsia" w:cs="宋体"/>
          <w:kern w:val="2"/>
          <w:sz w:val="28"/>
          <w:szCs w:val="28"/>
          <w:lang w:val="en-US" w:eastAsia="zh-CN" w:bidi="ar-SA"/>
        </w:rPr>
        <w:t>，市场占有率高</w:t>
      </w:r>
      <w:r>
        <w:rPr>
          <w:rFonts w:hint="eastAsia" w:ascii="Calibri" w:hAnsi="Calibri" w:eastAsia="宋体" w:cs="宋体"/>
          <w:kern w:val="2"/>
          <w:sz w:val="28"/>
          <w:szCs w:val="28"/>
          <w:lang w:val="en-US" w:eastAsia="zh-CN" w:bidi="ar-SA"/>
        </w:rPr>
        <w:t>；</w:t>
      </w:r>
    </w:p>
    <w:p w14:paraId="61ABE6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eastAsia" w:ascii="Calibri" w:hAnsi="Calibri" w:eastAsia="宋体" w:cs="宋体"/>
          <w:kern w:val="2"/>
          <w:sz w:val="28"/>
          <w:szCs w:val="28"/>
          <w:lang w:val="en-US" w:eastAsia="zh-CN" w:bidi="ar-SA"/>
        </w:rPr>
      </w:pPr>
      <w:r>
        <w:rPr>
          <w:rFonts w:hint="eastAsia" w:ascii="Calibri" w:hAnsi="Calibri" w:eastAsia="宋体" w:cs="宋体"/>
          <w:kern w:val="2"/>
          <w:sz w:val="28"/>
          <w:szCs w:val="28"/>
          <w:lang w:val="en-US" w:eastAsia="zh-CN" w:bidi="ar-SA"/>
        </w:rPr>
        <w:t> </w:t>
      </w:r>
      <w:r>
        <w:rPr>
          <w:rFonts w:hint="eastAsia" w:cs="宋体"/>
          <w:kern w:val="2"/>
          <w:sz w:val="28"/>
          <w:szCs w:val="28"/>
          <w:lang w:val="en-US" w:eastAsia="zh-CN" w:bidi="ar-SA"/>
        </w:rPr>
        <w:t xml:space="preserve">   </w:t>
      </w:r>
      <w:r>
        <w:rPr>
          <w:rFonts w:hint="eastAsia" w:ascii="Calibri" w:hAnsi="Calibri" w:eastAsia="宋体" w:cs="宋体"/>
          <w:kern w:val="2"/>
          <w:sz w:val="28"/>
          <w:szCs w:val="28"/>
          <w:lang w:val="en-US" w:eastAsia="zh-CN" w:bidi="ar-SA"/>
        </w:rPr>
        <w:t xml:space="preserve"> 4.以综合评价为主。</w:t>
      </w:r>
    </w:p>
    <w:p w14:paraId="6103EF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Calibri" w:hAnsi="Calibri" w:eastAsia="宋体" w:cs="宋体"/>
          <w:kern w:val="2"/>
          <w:sz w:val="28"/>
          <w:szCs w:val="28"/>
          <w:lang w:val="en-US" w:eastAsia="zh-CN" w:bidi="ar-SA"/>
        </w:rPr>
      </w:pPr>
      <w:r>
        <w:rPr>
          <w:rFonts w:hint="eastAsia" w:cs="宋体"/>
          <w:kern w:val="2"/>
          <w:sz w:val="28"/>
          <w:szCs w:val="28"/>
          <w:lang w:val="en-US" w:eastAsia="zh-CN" w:bidi="ar-SA"/>
        </w:rPr>
        <w:t>七</w:t>
      </w:r>
      <w:r>
        <w:rPr>
          <w:rFonts w:hint="eastAsia" w:ascii="Calibri" w:hAnsi="Calibri" w:eastAsia="宋体" w:cs="宋体"/>
          <w:kern w:val="2"/>
          <w:sz w:val="28"/>
          <w:szCs w:val="28"/>
          <w:lang w:val="en-US" w:eastAsia="zh-CN" w:bidi="ar-SA"/>
        </w:rPr>
        <w:t>、公告时间：202</w:t>
      </w:r>
      <w:r>
        <w:rPr>
          <w:rFonts w:hint="eastAsia" w:cs="宋体"/>
          <w:kern w:val="2"/>
          <w:sz w:val="28"/>
          <w:szCs w:val="28"/>
          <w:lang w:val="en-US" w:eastAsia="zh-CN" w:bidi="ar-SA"/>
        </w:rPr>
        <w:t>6</w:t>
      </w:r>
      <w:r>
        <w:rPr>
          <w:rFonts w:hint="eastAsia" w:ascii="Calibri" w:hAnsi="Calibri" w:eastAsia="宋体" w:cs="宋体"/>
          <w:kern w:val="2"/>
          <w:sz w:val="28"/>
          <w:szCs w:val="28"/>
          <w:lang w:val="en-US" w:eastAsia="zh-CN" w:bidi="ar-SA"/>
        </w:rPr>
        <w:t>年</w:t>
      </w:r>
      <w:r>
        <w:rPr>
          <w:rFonts w:hint="eastAsia" w:cs="宋体"/>
          <w:kern w:val="2"/>
          <w:sz w:val="28"/>
          <w:szCs w:val="28"/>
          <w:lang w:val="en-US" w:eastAsia="zh-CN" w:bidi="ar-SA"/>
        </w:rPr>
        <w:t xml:space="preserve"> 1</w:t>
      </w:r>
      <w:r>
        <w:rPr>
          <w:rFonts w:hint="eastAsia" w:ascii="Calibri" w:hAnsi="Calibri" w:eastAsia="宋体" w:cs="宋体"/>
          <w:kern w:val="2"/>
          <w:sz w:val="28"/>
          <w:szCs w:val="28"/>
          <w:lang w:val="en-US" w:eastAsia="zh-CN" w:bidi="ar-SA"/>
        </w:rPr>
        <w:t>月</w:t>
      </w:r>
      <w:r>
        <w:rPr>
          <w:rFonts w:hint="eastAsia" w:cs="宋体"/>
          <w:kern w:val="2"/>
          <w:sz w:val="28"/>
          <w:szCs w:val="28"/>
          <w:lang w:val="en-US" w:eastAsia="zh-CN" w:bidi="ar-SA"/>
        </w:rPr>
        <w:t>16</w:t>
      </w:r>
      <w:r>
        <w:rPr>
          <w:rFonts w:hint="eastAsia" w:ascii="Calibri" w:hAnsi="Calibri" w:eastAsia="宋体" w:cs="宋体"/>
          <w:kern w:val="2"/>
          <w:sz w:val="28"/>
          <w:szCs w:val="28"/>
          <w:lang w:val="en-US" w:eastAsia="zh-CN" w:bidi="ar-SA"/>
        </w:rPr>
        <w:t>日-202</w:t>
      </w:r>
      <w:r>
        <w:rPr>
          <w:rFonts w:hint="eastAsia" w:cs="宋体"/>
          <w:kern w:val="2"/>
          <w:sz w:val="28"/>
          <w:szCs w:val="28"/>
          <w:lang w:val="en-US" w:eastAsia="zh-CN" w:bidi="ar-SA"/>
        </w:rPr>
        <w:t>6</w:t>
      </w:r>
      <w:r>
        <w:rPr>
          <w:rFonts w:hint="eastAsia" w:ascii="Calibri" w:hAnsi="Calibri" w:eastAsia="宋体" w:cs="宋体"/>
          <w:kern w:val="2"/>
          <w:sz w:val="28"/>
          <w:szCs w:val="28"/>
          <w:lang w:val="en-US" w:eastAsia="zh-CN" w:bidi="ar-SA"/>
        </w:rPr>
        <w:t>年</w:t>
      </w:r>
      <w:r>
        <w:rPr>
          <w:rFonts w:hint="eastAsia" w:cs="宋体"/>
          <w:kern w:val="2"/>
          <w:sz w:val="28"/>
          <w:szCs w:val="28"/>
          <w:lang w:val="en-US" w:eastAsia="zh-CN" w:bidi="ar-SA"/>
        </w:rPr>
        <w:t xml:space="preserve"> 1 </w:t>
      </w:r>
      <w:r>
        <w:rPr>
          <w:rFonts w:hint="eastAsia" w:ascii="Calibri" w:hAnsi="Calibri" w:eastAsia="宋体" w:cs="宋体"/>
          <w:kern w:val="2"/>
          <w:sz w:val="28"/>
          <w:szCs w:val="28"/>
          <w:lang w:val="en-US" w:eastAsia="zh-CN" w:bidi="ar-SA"/>
        </w:rPr>
        <w:t>月</w:t>
      </w:r>
      <w:r>
        <w:rPr>
          <w:rFonts w:hint="eastAsia" w:cs="宋体"/>
          <w:kern w:val="2"/>
          <w:sz w:val="28"/>
          <w:szCs w:val="28"/>
          <w:lang w:val="en-US" w:eastAsia="zh-CN" w:bidi="ar-SA"/>
        </w:rPr>
        <w:t xml:space="preserve"> 24</w:t>
      </w:r>
      <w:r>
        <w:rPr>
          <w:rFonts w:hint="eastAsia" w:ascii="Calibri" w:hAnsi="Calibri" w:eastAsia="宋体" w:cs="宋体"/>
          <w:kern w:val="2"/>
          <w:sz w:val="28"/>
          <w:szCs w:val="28"/>
          <w:lang w:val="en-US" w:eastAsia="zh-CN" w:bidi="ar-SA"/>
        </w:rPr>
        <w:t>日</w:t>
      </w:r>
    </w:p>
    <w:p w14:paraId="78A496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Calibri" w:hAnsi="Calibri" w:eastAsia="宋体" w:cs="宋体"/>
          <w:kern w:val="2"/>
          <w:sz w:val="28"/>
          <w:szCs w:val="28"/>
          <w:lang w:val="en-US" w:eastAsia="zh-CN" w:bidi="ar-SA"/>
        </w:rPr>
      </w:pPr>
      <w:r>
        <w:rPr>
          <w:rFonts w:hint="eastAsia" w:cs="宋体"/>
          <w:kern w:val="2"/>
          <w:sz w:val="28"/>
          <w:szCs w:val="28"/>
          <w:lang w:val="en-US" w:eastAsia="zh-CN" w:bidi="ar-SA"/>
        </w:rPr>
        <w:t>八</w:t>
      </w:r>
      <w:r>
        <w:rPr>
          <w:rFonts w:hint="eastAsia" w:ascii="Calibri" w:hAnsi="Calibri" w:eastAsia="宋体" w:cs="宋体"/>
          <w:kern w:val="2"/>
          <w:sz w:val="28"/>
          <w:szCs w:val="28"/>
          <w:lang w:val="en-US" w:eastAsia="zh-CN" w:bidi="ar-SA"/>
        </w:rPr>
        <w:t>、报名时间：202</w:t>
      </w:r>
      <w:r>
        <w:rPr>
          <w:rFonts w:hint="eastAsia" w:cs="宋体"/>
          <w:kern w:val="2"/>
          <w:sz w:val="28"/>
          <w:szCs w:val="28"/>
          <w:lang w:val="en-US" w:eastAsia="zh-CN" w:bidi="ar-SA"/>
        </w:rPr>
        <w:t>6</w:t>
      </w:r>
      <w:r>
        <w:rPr>
          <w:rFonts w:hint="eastAsia" w:ascii="Calibri" w:hAnsi="Calibri" w:eastAsia="宋体" w:cs="宋体"/>
          <w:kern w:val="2"/>
          <w:sz w:val="28"/>
          <w:szCs w:val="28"/>
          <w:lang w:val="en-US" w:eastAsia="zh-CN" w:bidi="ar-SA"/>
        </w:rPr>
        <w:t>年</w:t>
      </w:r>
      <w:r>
        <w:rPr>
          <w:rFonts w:hint="eastAsia" w:cs="宋体"/>
          <w:kern w:val="2"/>
          <w:sz w:val="28"/>
          <w:szCs w:val="28"/>
          <w:lang w:val="en-US" w:eastAsia="zh-CN" w:bidi="ar-SA"/>
        </w:rPr>
        <w:t>1</w:t>
      </w:r>
      <w:r>
        <w:rPr>
          <w:rFonts w:hint="eastAsia" w:ascii="Calibri" w:hAnsi="Calibri" w:eastAsia="宋体" w:cs="宋体"/>
          <w:kern w:val="2"/>
          <w:sz w:val="28"/>
          <w:szCs w:val="28"/>
          <w:lang w:val="en-US" w:eastAsia="zh-CN" w:bidi="ar-SA"/>
        </w:rPr>
        <w:t>月</w:t>
      </w:r>
      <w:r>
        <w:rPr>
          <w:rFonts w:hint="eastAsia" w:cs="宋体"/>
          <w:kern w:val="2"/>
          <w:sz w:val="28"/>
          <w:szCs w:val="28"/>
          <w:lang w:val="en-US" w:eastAsia="zh-CN" w:bidi="ar-SA"/>
        </w:rPr>
        <w:t xml:space="preserve"> 16</w:t>
      </w:r>
      <w:r>
        <w:rPr>
          <w:rFonts w:hint="eastAsia" w:ascii="Calibri" w:hAnsi="Calibri" w:eastAsia="宋体" w:cs="宋体"/>
          <w:kern w:val="2"/>
          <w:sz w:val="28"/>
          <w:szCs w:val="28"/>
          <w:lang w:val="en-US" w:eastAsia="zh-CN" w:bidi="ar-SA"/>
        </w:rPr>
        <w:t>日-202</w:t>
      </w:r>
      <w:r>
        <w:rPr>
          <w:rFonts w:hint="eastAsia" w:cs="宋体"/>
          <w:kern w:val="2"/>
          <w:sz w:val="28"/>
          <w:szCs w:val="28"/>
          <w:lang w:val="en-US" w:eastAsia="zh-CN" w:bidi="ar-SA"/>
        </w:rPr>
        <w:t>6</w:t>
      </w:r>
      <w:r>
        <w:rPr>
          <w:rFonts w:hint="eastAsia" w:ascii="Calibri" w:hAnsi="Calibri" w:eastAsia="宋体" w:cs="宋体"/>
          <w:kern w:val="2"/>
          <w:sz w:val="28"/>
          <w:szCs w:val="28"/>
          <w:lang w:val="en-US" w:eastAsia="zh-CN" w:bidi="ar-SA"/>
        </w:rPr>
        <w:t>年</w:t>
      </w:r>
      <w:r>
        <w:rPr>
          <w:rFonts w:hint="eastAsia" w:cs="宋体"/>
          <w:kern w:val="2"/>
          <w:sz w:val="28"/>
          <w:szCs w:val="28"/>
          <w:lang w:val="en-US" w:eastAsia="zh-CN" w:bidi="ar-SA"/>
        </w:rPr>
        <w:t xml:space="preserve"> 1</w:t>
      </w:r>
      <w:r>
        <w:rPr>
          <w:rFonts w:hint="eastAsia" w:ascii="Calibri" w:hAnsi="Calibri" w:eastAsia="宋体" w:cs="宋体"/>
          <w:kern w:val="2"/>
          <w:sz w:val="28"/>
          <w:szCs w:val="28"/>
          <w:lang w:val="en-US" w:eastAsia="zh-CN" w:bidi="ar-SA"/>
        </w:rPr>
        <w:t>月</w:t>
      </w:r>
      <w:r>
        <w:rPr>
          <w:rFonts w:hint="eastAsia" w:cs="宋体"/>
          <w:kern w:val="2"/>
          <w:sz w:val="28"/>
          <w:szCs w:val="28"/>
          <w:lang w:val="en-US" w:eastAsia="zh-CN" w:bidi="ar-SA"/>
        </w:rPr>
        <w:t>24</w:t>
      </w:r>
      <w:r>
        <w:rPr>
          <w:rFonts w:hint="eastAsia" w:ascii="Calibri" w:hAnsi="Calibri" w:eastAsia="宋体" w:cs="宋体"/>
          <w:kern w:val="2"/>
          <w:sz w:val="28"/>
          <w:szCs w:val="28"/>
          <w:lang w:val="en-US" w:eastAsia="zh-CN" w:bidi="ar-SA"/>
        </w:rPr>
        <w:t>日下午17：00前</w:t>
      </w:r>
    </w:p>
    <w:p w14:paraId="5E672F7C">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cs="宋体"/>
          <w:kern w:val="2"/>
          <w:sz w:val="28"/>
          <w:szCs w:val="28"/>
          <w:lang w:val="en-US" w:eastAsia="zh-CN" w:bidi="ar-SA"/>
        </w:rPr>
      </w:pPr>
      <w:r>
        <w:rPr>
          <w:rFonts w:hint="eastAsia" w:cs="宋体"/>
          <w:kern w:val="2"/>
          <w:sz w:val="28"/>
          <w:szCs w:val="28"/>
          <w:lang w:val="en-US" w:eastAsia="zh-CN" w:bidi="ar-SA"/>
        </w:rPr>
        <w:t>九</w:t>
      </w:r>
      <w:r>
        <w:rPr>
          <w:rFonts w:hint="eastAsia" w:ascii="Calibri" w:hAnsi="Calibri" w:eastAsia="宋体" w:cs="宋体"/>
          <w:kern w:val="2"/>
          <w:sz w:val="28"/>
          <w:szCs w:val="28"/>
          <w:lang w:val="en-US" w:eastAsia="zh-CN" w:bidi="ar-SA"/>
        </w:rPr>
        <w:t>、</w:t>
      </w:r>
      <w:r>
        <w:rPr>
          <w:rFonts w:hint="eastAsia" w:cs="宋体"/>
          <w:kern w:val="2"/>
          <w:sz w:val="28"/>
          <w:szCs w:val="28"/>
          <w:lang w:val="en-US" w:eastAsia="zh-CN" w:bidi="ar-SA"/>
        </w:rPr>
        <w:t>报名方式</w:t>
      </w:r>
    </w:p>
    <w:p w14:paraId="7CEAA03F">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sz w:val="28"/>
          <w:szCs w:val="28"/>
          <w:lang w:val="en-US" w:eastAsia="zh-CN"/>
        </w:rPr>
      </w:pPr>
      <w:r>
        <w:rPr>
          <w:rFonts w:hint="eastAsia" w:ascii="Calibri" w:hAnsi="Calibri" w:eastAsia="宋体" w:cs="宋体"/>
          <w:kern w:val="2"/>
          <w:sz w:val="28"/>
          <w:szCs w:val="28"/>
          <w:lang w:val="en-US" w:eastAsia="zh-CN" w:bidi="ar-SA"/>
        </w:rPr>
        <w:t>1、现场报名，同时递交法人</w:t>
      </w:r>
      <w:r>
        <w:rPr>
          <w:rFonts w:hint="eastAsia" w:cs="宋体"/>
          <w:kern w:val="2"/>
          <w:sz w:val="28"/>
          <w:szCs w:val="28"/>
          <w:lang w:val="en-US" w:eastAsia="zh-CN" w:bidi="ar-SA"/>
        </w:rPr>
        <w:t>身份证或</w:t>
      </w:r>
      <w:r>
        <w:rPr>
          <w:rFonts w:hint="eastAsia" w:ascii="Calibri" w:hAnsi="Calibri" w:eastAsia="宋体" w:cs="宋体"/>
          <w:kern w:val="2"/>
          <w:sz w:val="28"/>
          <w:szCs w:val="28"/>
          <w:lang w:val="en-US" w:eastAsia="zh-CN" w:bidi="ar-SA"/>
        </w:rPr>
        <w:t>授权委托书、参询代表身份证复印件、参询企业营业执照及经营许可证复印件。</w:t>
      </w:r>
      <w:r>
        <w:rPr>
          <w:rFonts w:hint="eastAsia"/>
          <w:sz w:val="28"/>
          <w:szCs w:val="28"/>
          <w:lang w:val="en-US" w:eastAsia="zh-CN"/>
        </w:rPr>
        <w:t>(复印件须加盖公司公章)</w:t>
      </w:r>
    </w:p>
    <w:p w14:paraId="52013B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Calibri" w:hAnsi="Calibri" w:eastAsia="宋体" w:cs="宋体"/>
          <w:kern w:val="2"/>
          <w:sz w:val="28"/>
          <w:szCs w:val="28"/>
          <w:lang w:val="en-US" w:eastAsia="zh-CN" w:bidi="ar-SA"/>
        </w:rPr>
      </w:pPr>
      <w:r>
        <w:rPr>
          <w:rFonts w:hint="eastAsia" w:ascii="Calibri" w:hAnsi="Calibri" w:eastAsia="宋体" w:cs="宋体"/>
          <w:kern w:val="2"/>
          <w:sz w:val="28"/>
          <w:szCs w:val="28"/>
          <w:lang w:val="en-US" w:eastAsia="zh-CN" w:bidi="ar-SA"/>
        </w:rPr>
        <w:t>2、外地企业可以电话报名，相关印证材料邮寄或电子版（</w:t>
      </w:r>
      <w:r>
        <w:rPr>
          <w:rFonts w:hint="eastAsia" w:cs="宋体"/>
          <w:kern w:val="2"/>
          <w:sz w:val="28"/>
          <w:szCs w:val="28"/>
          <w:lang w:val="en-US" w:eastAsia="zh-CN" w:bidi="ar-SA"/>
        </w:rPr>
        <w:t>gyy20041@163</w:t>
      </w:r>
      <w:r>
        <w:rPr>
          <w:rFonts w:hint="eastAsia" w:ascii="Calibri" w:hAnsi="Calibri" w:eastAsia="宋体" w:cs="宋体"/>
          <w:kern w:val="2"/>
          <w:sz w:val="28"/>
          <w:szCs w:val="28"/>
          <w:lang w:val="en-US" w:eastAsia="zh-CN" w:bidi="ar-SA"/>
        </w:rPr>
        <w:t>.com)发送。</w:t>
      </w:r>
    </w:p>
    <w:p w14:paraId="28BB59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cs="宋体"/>
          <w:kern w:val="2"/>
          <w:sz w:val="28"/>
          <w:szCs w:val="28"/>
          <w:lang w:val="en-US" w:eastAsia="zh-CN" w:bidi="ar-SA"/>
        </w:rPr>
      </w:pPr>
      <w:r>
        <w:rPr>
          <w:rFonts w:hint="eastAsia" w:ascii="Calibri" w:hAnsi="Calibri" w:eastAsia="宋体" w:cs="宋体"/>
          <w:kern w:val="2"/>
          <w:sz w:val="28"/>
          <w:szCs w:val="28"/>
          <w:lang w:val="en-US" w:eastAsia="zh-CN" w:bidi="ar-SA"/>
        </w:rPr>
        <w:t>邮寄地址：广丰区</w:t>
      </w:r>
      <w:r>
        <w:rPr>
          <w:rFonts w:hint="eastAsia" w:cs="宋体"/>
          <w:kern w:val="2"/>
          <w:sz w:val="28"/>
          <w:szCs w:val="28"/>
          <w:lang w:val="en-US" w:eastAsia="zh-CN" w:bidi="ar-SA"/>
        </w:rPr>
        <w:t>中</w:t>
      </w:r>
      <w:r>
        <w:rPr>
          <w:rFonts w:hint="eastAsia" w:ascii="Calibri" w:hAnsi="Calibri" w:eastAsia="宋体" w:cs="宋体"/>
          <w:kern w:val="2"/>
          <w:sz w:val="28"/>
          <w:szCs w:val="28"/>
          <w:lang w:val="en-US" w:eastAsia="zh-CN" w:bidi="ar-SA"/>
        </w:rPr>
        <w:t>医院器械科</w:t>
      </w:r>
      <w:r>
        <w:rPr>
          <w:rFonts w:hint="eastAsia" w:cs="宋体"/>
          <w:kern w:val="2"/>
          <w:sz w:val="28"/>
          <w:szCs w:val="28"/>
          <w:lang w:val="en-US" w:eastAsia="zh-CN" w:bidi="ar-SA"/>
        </w:rPr>
        <w:t xml:space="preserve"> </w:t>
      </w:r>
    </w:p>
    <w:p w14:paraId="5FD8CC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default" w:ascii="Calibri" w:hAnsi="Calibri" w:eastAsia="宋体" w:cs="宋体"/>
          <w:kern w:val="2"/>
          <w:sz w:val="28"/>
          <w:szCs w:val="28"/>
          <w:lang w:val="en-US" w:eastAsia="zh-CN" w:bidi="ar-SA"/>
        </w:rPr>
      </w:pPr>
      <w:r>
        <w:rPr>
          <w:rFonts w:hint="eastAsia" w:cs="宋体"/>
          <w:kern w:val="2"/>
          <w:sz w:val="28"/>
          <w:szCs w:val="28"/>
          <w:lang w:val="en-US" w:eastAsia="zh-CN" w:bidi="ar-SA"/>
        </w:rPr>
        <w:t xml:space="preserve">联系人：甘女士    </w:t>
      </w:r>
      <w:r>
        <w:rPr>
          <w:rFonts w:hint="eastAsia" w:ascii="Calibri" w:hAnsi="Calibri" w:eastAsia="宋体" w:cs="宋体"/>
          <w:kern w:val="2"/>
          <w:sz w:val="28"/>
          <w:szCs w:val="28"/>
          <w:lang w:val="en-US" w:eastAsia="zh-CN" w:bidi="ar-SA"/>
        </w:rPr>
        <w:t>联系电话:</w:t>
      </w:r>
      <w:r>
        <w:rPr>
          <w:rFonts w:hint="eastAsia" w:cs="宋体"/>
          <w:kern w:val="2"/>
          <w:sz w:val="28"/>
          <w:szCs w:val="28"/>
          <w:lang w:val="en-US" w:eastAsia="zh-CN" w:bidi="ar-SA"/>
        </w:rPr>
        <w:t>13767373776</w:t>
      </w:r>
    </w:p>
    <w:p w14:paraId="5E8B1E58">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Calibri" w:hAnsi="Calibri" w:eastAsia="宋体" w:cs="宋体"/>
          <w:kern w:val="2"/>
          <w:sz w:val="28"/>
          <w:szCs w:val="28"/>
          <w:lang w:val="en-US" w:eastAsia="zh-CN" w:bidi="ar-SA"/>
        </w:rPr>
      </w:pPr>
      <w:r>
        <w:rPr>
          <w:rFonts w:hint="eastAsia" w:cs="宋体"/>
          <w:kern w:val="2"/>
          <w:sz w:val="28"/>
          <w:szCs w:val="28"/>
          <w:lang w:val="en-US" w:eastAsia="zh-CN" w:bidi="ar-SA"/>
        </w:rPr>
        <w:t>十</w:t>
      </w:r>
      <w:r>
        <w:rPr>
          <w:rFonts w:hint="eastAsia" w:ascii="Calibri" w:hAnsi="Calibri" w:eastAsia="宋体" w:cs="宋体"/>
          <w:kern w:val="2"/>
          <w:sz w:val="28"/>
          <w:szCs w:val="28"/>
          <w:lang w:val="en-US" w:eastAsia="zh-CN" w:bidi="ar-SA"/>
        </w:rPr>
        <w:t>、</w:t>
      </w:r>
      <w:r>
        <w:rPr>
          <w:rFonts w:hint="eastAsia" w:cs="宋体"/>
          <w:kern w:val="2"/>
          <w:sz w:val="28"/>
          <w:szCs w:val="28"/>
          <w:lang w:val="en-US" w:eastAsia="zh-CN" w:bidi="ar-SA"/>
        </w:rPr>
        <w:t>议价时间和地点</w:t>
      </w:r>
    </w:p>
    <w:p w14:paraId="3D61A3A8">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Calibri" w:hAnsi="Calibri" w:eastAsia="宋体" w:cs="宋体"/>
          <w:kern w:val="2"/>
          <w:sz w:val="28"/>
          <w:szCs w:val="28"/>
          <w:lang w:val="en-US" w:eastAsia="zh-CN" w:bidi="ar-SA"/>
        </w:rPr>
      </w:pPr>
      <w:r>
        <w:rPr>
          <w:rFonts w:hint="eastAsia" w:ascii="Calibri" w:hAnsi="Calibri" w:eastAsia="宋体" w:cs="宋体"/>
          <w:kern w:val="2"/>
          <w:sz w:val="28"/>
          <w:szCs w:val="28"/>
          <w:lang w:val="en-US" w:eastAsia="zh-CN" w:bidi="ar-SA"/>
        </w:rPr>
        <w:t>1、议价时间：</w:t>
      </w:r>
      <w:r>
        <w:rPr>
          <w:rFonts w:hint="eastAsia" w:cs="宋体"/>
          <w:kern w:val="2"/>
          <w:sz w:val="28"/>
          <w:szCs w:val="28"/>
          <w:lang w:val="en-US" w:eastAsia="zh-CN" w:bidi="ar-SA"/>
        </w:rPr>
        <w:t>议价时间另行通知，届时请报名公司派代表出席</w:t>
      </w:r>
    </w:p>
    <w:p w14:paraId="49681979">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ascii="Calibri" w:hAnsi="Calibri" w:eastAsia="宋体" w:cs="宋体"/>
          <w:kern w:val="2"/>
          <w:sz w:val="28"/>
          <w:szCs w:val="28"/>
          <w:lang w:val="en-US" w:eastAsia="zh-CN" w:bidi="ar-SA"/>
        </w:rPr>
      </w:pPr>
      <w:r>
        <w:rPr>
          <w:rFonts w:hint="eastAsia" w:ascii="Calibri" w:hAnsi="Calibri" w:eastAsia="宋体" w:cs="宋体"/>
          <w:kern w:val="2"/>
          <w:sz w:val="28"/>
          <w:szCs w:val="28"/>
          <w:lang w:val="en-US" w:eastAsia="zh-CN" w:bidi="ar-SA"/>
        </w:rPr>
        <w:t>2、议价地点：广丰区</w:t>
      </w:r>
      <w:r>
        <w:rPr>
          <w:rFonts w:hint="eastAsia" w:cs="宋体"/>
          <w:kern w:val="2"/>
          <w:sz w:val="28"/>
          <w:szCs w:val="28"/>
          <w:lang w:val="en-US" w:eastAsia="zh-CN" w:bidi="ar-SA"/>
        </w:rPr>
        <w:t>中</w:t>
      </w:r>
      <w:r>
        <w:rPr>
          <w:rFonts w:hint="eastAsia" w:ascii="Calibri" w:hAnsi="Calibri" w:eastAsia="宋体" w:cs="宋体"/>
          <w:kern w:val="2"/>
          <w:sz w:val="28"/>
          <w:szCs w:val="28"/>
          <w:lang w:val="en-US" w:eastAsia="zh-CN" w:bidi="ar-SA"/>
        </w:rPr>
        <w:t>医院</w:t>
      </w:r>
      <w:r>
        <w:rPr>
          <w:rFonts w:hint="eastAsia" w:cs="宋体"/>
          <w:kern w:val="2"/>
          <w:sz w:val="28"/>
          <w:szCs w:val="28"/>
          <w:lang w:val="en-US" w:eastAsia="zh-CN" w:bidi="ar-SA"/>
        </w:rPr>
        <w:t>发热门诊4楼会议室</w:t>
      </w:r>
    </w:p>
    <w:p w14:paraId="6166CFC8">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Calibri" w:hAnsi="Calibri" w:eastAsia="宋体" w:cs="宋体"/>
          <w:kern w:val="2"/>
          <w:sz w:val="21"/>
          <w:szCs w:val="24"/>
          <w:lang w:val="en-US" w:eastAsia="zh-CN" w:bidi="ar-SA"/>
        </w:rPr>
      </w:pPr>
    </w:p>
    <w:p w14:paraId="6EC77F42">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Calibri" w:hAnsi="Calibri" w:eastAsia="宋体" w:cs="宋体"/>
          <w:kern w:val="2"/>
          <w:sz w:val="21"/>
          <w:szCs w:val="24"/>
          <w:lang w:val="en-US" w:eastAsia="zh-CN" w:bidi="ar-SA"/>
        </w:rPr>
      </w:pPr>
    </w:p>
    <w:p w14:paraId="615029D9">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Calibri" w:hAnsi="Calibri" w:eastAsia="宋体" w:cs="宋体"/>
          <w:kern w:val="2"/>
          <w:sz w:val="21"/>
          <w:szCs w:val="24"/>
          <w:lang w:val="en-US" w:eastAsia="zh-CN" w:bidi="ar-SA"/>
        </w:rPr>
      </w:pPr>
    </w:p>
    <w:p w14:paraId="781D07FD">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Calibri" w:hAnsi="Calibri" w:eastAsia="宋体" w:cs="宋体"/>
          <w:kern w:val="2"/>
          <w:sz w:val="21"/>
          <w:szCs w:val="24"/>
          <w:lang w:val="en-US" w:eastAsia="zh-CN" w:bidi="ar-SA"/>
        </w:rPr>
      </w:pPr>
    </w:p>
    <w:p w14:paraId="48CDBADD">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Calibri" w:hAnsi="Calibri" w:eastAsia="宋体" w:cs="宋体"/>
          <w:kern w:val="2"/>
          <w:sz w:val="21"/>
          <w:szCs w:val="24"/>
          <w:lang w:val="en-US" w:eastAsia="zh-CN" w:bidi="ar-SA"/>
        </w:rPr>
      </w:pPr>
    </w:p>
    <w:p w14:paraId="7F175E1B">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Calibri" w:hAnsi="Calibri" w:eastAsia="宋体" w:cs="宋体"/>
          <w:kern w:val="2"/>
          <w:sz w:val="21"/>
          <w:szCs w:val="24"/>
          <w:lang w:val="en-US" w:eastAsia="zh-CN" w:bidi="ar-SA"/>
        </w:rPr>
      </w:pPr>
    </w:p>
    <w:p w14:paraId="128828B9">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Calibri" w:hAnsi="Calibri" w:eastAsia="宋体" w:cs="宋体"/>
          <w:kern w:val="2"/>
          <w:sz w:val="21"/>
          <w:szCs w:val="24"/>
          <w:lang w:val="en-US" w:eastAsia="zh-CN" w:bidi="ar-SA"/>
        </w:rPr>
      </w:pPr>
    </w:p>
    <w:p w14:paraId="6B045D70">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Calibri" w:hAnsi="Calibri" w:eastAsia="宋体" w:cs="宋体"/>
          <w:kern w:val="2"/>
          <w:sz w:val="21"/>
          <w:szCs w:val="24"/>
          <w:lang w:val="en-US" w:eastAsia="zh-CN" w:bidi="ar-SA"/>
        </w:rPr>
      </w:pPr>
    </w:p>
    <w:p w14:paraId="2D29274C">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textAlignment w:val="auto"/>
        <w:rPr>
          <w:rFonts w:hint="default"/>
          <w:lang w:val="en-US" w:eastAsia="zh-CN"/>
        </w:rPr>
      </w:pPr>
    </w:p>
    <w:p w14:paraId="38B77E1A">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lang w:val="en-US" w:eastAsia="zh-CN"/>
        </w:rPr>
      </w:pPr>
    </w:p>
    <w:tbl>
      <w:tblPr>
        <w:tblStyle w:val="6"/>
        <w:tblpPr w:leftFromText="180" w:rightFromText="180" w:vertAnchor="text" w:horzAnchor="page" w:tblpX="255" w:tblpY="485"/>
        <w:tblOverlap w:val="never"/>
        <w:tblW w:w="11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678"/>
        <w:gridCol w:w="945"/>
        <w:gridCol w:w="673"/>
        <w:gridCol w:w="777"/>
        <w:gridCol w:w="799"/>
        <w:gridCol w:w="566"/>
        <w:gridCol w:w="667"/>
        <w:gridCol w:w="450"/>
        <w:gridCol w:w="518"/>
        <w:gridCol w:w="701"/>
        <w:gridCol w:w="1151"/>
        <w:gridCol w:w="932"/>
        <w:gridCol w:w="804"/>
        <w:gridCol w:w="659"/>
        <w:gridCol w:w="755"/>
      </w:tblGrid>
      <w:tr w14:paraId="5E9C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620" w:type="dxa"/>
            <w:gridSpan w:val="16"/>
            <w:tcBorders>
              <w:top w:val="nil"/>
              <w:left w:val="nil"/>
              <w:bottom w:val="nil"/>
              <w:right w:val="nil"/>
            </w:tcBorders>
          </w:tcPr>
          <w:p w14:paraId="0917C186">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left"/>
              <w:textAlignment w:val="auto"/>
              <w:rPr>
                <w:rFonts w:hint="default"/>
                <w:sz w:val="36"/>
                <w:szCs w:val="36"/>
                <w:lang w:val="en-US" w:eastAsia="zh-CN"/>
              </w:rPr>
            </w:pPr>
            <w:r>
              <w:rPr>
                <w:rFonts w:hint="eastAsia"/>
                <w:sz w:val="21"/>
                <w:szCs w:val="21"/>
                <w:lang w:val="en-US" w:eastAsia="zh-CN"/>
              </w:rPr>
              <w:t>附件1</w:t>
            </w:r>
          </w:p>
        </w:tc>
      </w:tr>
      <w:tr w14:paraId="34F6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620" w:type="dxa"/>
            <w:gridSpan w:val="16"/>
            <w:tcBorders>
              <w:top w:val="nil"/>
              <w:left w:val="nil"/>
              <w:bottom w:val="nil"/>
              <w:right w:val="nil"/>
            </w:tcBorders>
          </w:tcPr>
          <w:p w14:paraId="368A0DBB">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b/>
                <w:bCs/>
                <w:sz w:val="28"/>
                <w:szCs w:val="28"/>
                <w:lang w:val="en-US" w:eastAsia="zh-CN"/>
              </w:rPr>
              <w:t>广丰区中医院卫材招标采购报价表</w:t>
            </w:r>
          </w:p>
        </w:tc>
      </w:tr>
      <w:tr w14:paraId="5D14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620" w:type="dxa"/>
            <w:gridSpan w:val="16"/>
            <w:tcBorders>
              <w:top w:val="nil"/>
              <w:left w:val="nil"/>
              <w:bottom w:val="single" w:color="auto" w:sz="4" w:space="0"/>
              <w:right w:val="nil"/>
            </w:tcBorders>
          </w:tcPr>
          <w:p w14:paraId="064B06D3">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lang w:val="en-US" w:eastAsia="zh-CN"/>
              </w:rPr>
            </w:pPr>
            <w:r>
              <w:rPr>
                <w:rFonts w:hint="eastAsia"/>
                <w:sz w:val="24"/>
                <w:szCs w:val="24"/>
                <w:lang w:val="en-US" w:eastAsia="zh-CN"/>
              </w:rPr>
              <w:t>投标企业名称：                 联系人：                 电话：            邮箱：</w:t>
            </w:r>
          </w:p>
        </w:tc>
      </w:tr>
      <w:tr w14:paraId="7940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545" w:type="dxa"/>
            <w:tcBorders>
              <w:top w:val="single" w:color="auto" w:sz="4" w:space="0"/>
            </w:tcBorders>
          </w:tcPr>
          <w:p w14:paraId="6421A964">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b/>
                <w:bCs/>
                <w:sz w:val="21"/>
                <w:szCs w:val="21"/>
              </w:rPr>
            </w:pPr>
            <w:r>
              <w:rPr>
                <w:rFonts w:hint="eastAsia"/>
                <w:b/>
                <w:bCs/>
                <w:sz w:val="21"/>
                <w:szCs w:val="21"/>
                <w:lang w:val="en-US" w:eastAsia="zh-CN"/>
              </w:rPr>
              <w:t>序号</w:t>
            </w:r>
          </w:p>
        </w:tc>
        <w:tc>
          <w:tcPr>
            <w:tcW w:w="678" w:type="dxa"/>
            <w:tcBorders>
              <w:top w:val="single" w:color="auto" w:sz="4" w:space="0"/>
            </w:tcBorders>
          </w:tcPr>
          <w:p w14:paraId="6C071528">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b/>
                <w:bCs/>
                <w:sz w:val="21"/>
                <w:szCs w:val="21"/>
              </w:rPr>
            </w:pPr>
            <w:r>
              <w:rPr>
                <w:rFonts w:hint="eastAsia"/>
                <w:b/>
                <w:bCs/>
                <w:sz w:val="21"/>
                <w:szCs w:val="21"/>
                <w:lang w:val="en-US" w:eastAsia="zh-CN"/>
              </w:rPr>
              <w:t>耗材编码</w:t>
            </w:r>
          </w:p>
        </w:tc>
        <w:tc>
          <w:tcPr>
            <w:tcW w:w="945" w:type="dxa"/>
            <w:tcBorders>
              <w:top w:val="single" w:color="auto" w:sz="4" w:space="0"/>
            </w:tcBorders>
          </w:tcPr>
          <w:p w14:paraId="68D91770">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b/>
                <w:bCs/>
                <w:sz w:val="21"/>
                <w:szCs w:val="21"/>
              </w:rPr>
            </w:pPr>
            <w:r>
              <w:rPr>
                <w:rFonts w:hint="eastAsia"/>
                <w:b/>
                <w:bCs/>
                <w:sz w:val="21"/>
                <w:szCs w:val="21"/>
                <w:lang w:val="en-US" w:eastAsia="zh-CN"/>
              </w:rPr>
              <w:t>挂网ID</w:t>
            </w:r>
          </w:p>
        </w:tc>
        <w:tc>
          <w:tcPr>
            <w:tcW w:w="673" w:type="dxa"/>
            <w:tcBorders>
              <w:top w:val="single" w:color="auto" w:sz="4" w:space="0"/>
            </w:tcBorders>
          </w:tcPr>
          <w:p w14:paraId="2FE17D9F">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b/>
                <w:bCs/>
                <w:sz w:val="21"/>
                <w:szCs w:val="21"/>
              </w:rPr>
            </w:pPr>
            <w:r>
              <w:rPr>
                <w:rFonts w:hint="eastAsia"/>
                <w:b/>
                <w:bCs/>
                <w:sz w:val="21"/>
                <w:szCs w:val="21"/>
                <w:lang w:val="en-US" w:eastAsia="zh-CN"/>
              </w:rPr>
              <w:t>产品名称</w:t>
            </w:r>
          </w:p>
        </w:tc>
        <w:tc>
          <w:tcPr>
            <w:tcW w:w="777" w:type="dxa"/>
            <w:tcBorders>
              <w:top w:val="single" w:color="auto" w:sz="4" w:space="0"/>
            </w:tcBorders>
          </w:tcPr>
          <w:p w14:paraId="0D891607">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b/>
                <w:bCs/>
                <w:sz w:val="21"/>
                <w:szCs w:val="21"/>
                <w:lang w:val="en-US" w:eastAsia="zh-CN"/>
              </w:rPr>
            </w:pPr>
            <w:r>
              <w:rPr>
                <w:rFonts w:hint="eastAsia"/>
                <w:b/>
                <w:bCs/>
                <w:sz w:val="21"/>
                <w:szCs w:val="21"/>
                <w:lang w:val="en-US" w:eastAsia="zh-CN"/>
              </w:rPr>
              <w:t>注册</w:t>
            </w:r>
          </w:p>
          <w:p w14:paraId="2DDB9865">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b/>
                <w:bCs/>
                <w:sz w:val="21"/>
                <w:szCs w:val="21"/>
                <w:lang w:val="en-US" w:eastAsia="zh-CN"/>
              </w:rPr>
            </w:pPr>
            <w:r>
              <w:rPr>
                <w:rFonts w:hint="eastAsia"/>
                <w:b/>
                <w:bCs/>
                <w:sz w:val="21"/>
                <w:szCs w:val="21"/>
                <w:lang w:val="en-US" w:eastAsia="zh-CN"/>
              </w:rPr>
              <w:t>证编</w:t>
            </w:r>
          </w:p>
          <w:p w14:paraId="31461DA3">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b/>
                <w:bCs/>
                <w:sz w:val="21"/>
                <w:szCs w:val="21"/>
              </w:rPr>
            </w:pPr>
            <w:r>
              <w:rPr>
                <w:rFonts w:hint="eastAsia"/>
                <w:b/>
                <w:bCs/>
                <w:sz w:val="21"/>
                <w:szCs w:val="21"/>
                <w:lang w:val="en-US" w:eastAsia="zh-CN"/>
              </w:rPr>
              <w:t>号</w:t>
            </w:r>
          </w:p>
        </w:tc>
        <w:tc>
          <w:tcPr>
            <w:tcW w:w="799" w:type="dxa"/>
            <w:tcBorders>
              <w:top w:val="single" w:color="auto" w:sz="4" w:space="0"/>
            </w:tcBorders>
          </w:tcPr>
          <w:p w14:paraId="1C15C587">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b/>
                <w:bCs/>
                <w:sz w:val="21"/>
                <w:szCs w:val="21"/>
                <w:lang w:val="en-US" w:eastAsia="zh-CN"/>
              </w:rPr>
            </w:pPr>
            <w:r>
              <w:rPr>
                <w:rFonts w:hint="eastAsia"/>
                <w:b/>
                <w:bCs/>
                <w:sz w:val="21"/>
                <w:szCs w:val="21"/>
                <w:lang w:val="en-US" w:eastAsia="zh-CN"/>
              </w:rPr>
              <w:t>注册</w:t>
            </w:r>
          </w:p>
          <w:p w14:paraId="71CC1D79">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b/>
                <w:bCs/>
                <w:sz w:val="21"/>
                <w:szCs w:val="21"/>
                <w:lang w:val="en-US" w:eastAsia="zh-CN"/>
              </w:rPr>
            </w:pPr>
            <w:r>
              <w:rPr>
                <w:rFonts w:hint="eastAsia"/>
                <w:b/>
                <w:bCs/>
                <w:sz w:val="21"/>
                <w:szCs w:val="21"/>
                <w:lang w:val="en-US" w:eastAsia="zh-CN"/>
              </w:rPr>
              <w:t>证名</w:t>
            </w:r>
          </w:p>
          <w:p w14:paraId="63840A10">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b/>
                <w:bCs/>
                <w:sz w:val="21"/>
                <w:szCs w:val="21"/>
              </w:rPr>
            </w:pPr>
            <w:r>
              <w:rPr>
                <w:rFonts w:hint="eastAsia"/>
                <w:b/>
                <w:bCs/>
                <w:sz w:val="21"/>
                <w:szCs w:val="21"/>
                <w:lang w:val="en-US" w:eastAsia="zh-CN"/>
              </w:rPr>
              <w:t>称</w:t>
            </w:r>
          </w:p>
        </w:tc>
        <w:tc>
          <w:tcPr>
            <w:tcW w:w="566" w:type="dxa"/>
            <w:tcBorders>
              <w:top w:val="single" w:color="auto" w:sz="4" w:space="0"/>
            </w:tcBorders>
          </w:tcPr>
          <w:p w14:paraId="77D01AE8">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b/>
                <w:bCs/>
                <w:sz w:val="21"/>
                <w:szCs w:val="21"/>
              </w:rPr>
            </w:pPr>
            <w:r>
              <w:rPr>
                <w:rFonts w:hint="eastAsia"/>
                <w:b/>
                <w:bCs/>
                <w:sz w:val="21"/>
                <w:szCs w:val="21"/>
                <w:lang w:val="en-US" w:eastAsia="zh-CN"/>
              </w:rPr>
              <w:t>型号</w:t>
            </w:r>
          </w:p>
        </w:tc>
        <w:tc>
          <w:tcPr>
            <w:tcW w:w="667" w:type="dxa"/>
            <w:tcBorders>
              <w:top w:val="single" w:color="auto" w:sz="4" w:space="0"/>
            </w:tcBorders>
          </w:tcPr>
          <w:p w14:paraId="7748606F">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b/>
                <w:bCs/>
                <w:sz w:val="21"/>
                <w:szCs w:val="21"/>
              </w:rPr>
            </w:pPr>
            <w:r>
              <w:rPr>
                <w:rFonts w:hint="eastAsia"/>
                <w:b/>
                <w:bCs/>
                <w:sz w:val="21"/>
                <w:szCs w:val="21"/>
                <w:lang w:val="en-US" w:eastAsia="zh-CN"/>
              </w:rPr>
              <w:t>规格</w:t>
            </w:r>
          </w:p>
        </w:tc>
        <w:tc>
          <w:tcPr>
            <w:tcW w:w="450" w:type="dxa"/>
            <w:tcBorders>
              <w:top w:val="single" w:color="auto" w:sz="4" w:space="0"/>
            </w:tcBorders>
          </w:tcPr>
          <w:p w14:paraId="5F115A57">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b/>
                <w:bCs/>
                <w:sz w:val="21"/>
                <w:szCs w:val="21"/>
              </w:rPr>
            </w:pPr>
            <w:r>
              <w:rPr>
                <w:rFonts w:hint="eastAsia"/>
                <w:b/>
                <w:bCs/>
                <w:sz w:val="21"/>
                <w:szCs w:val="21"/>
                <w:lang w:val="en-US" w:eastAsia="zh-CN"/>
              </w:rPr>
              <w:t>包装</w:t>
            </w:r>
          </w:p>
        </w:tc>
        <w:tc>
          <w:tcPr>
            <w:tcW w:w="518" w:type="dxa"/>
            <w:tcBorders>
              <w:top w:val="single" w:color="auto" w:sz="4" w:space="0"/>
            </w:tcBorders>
          </w:tcPr>
          <w:p w14:paraId="64DD0512">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b/>
                <w:bCs/>
                <w:sz w:val="21"/>
                <w:szCs w:val="21"/>
              </w:rPr>
            </w:pPr>
            <w:r>
              <w:rPr>
                <w:rFonts w:hint="eastAsia"/>
                <w:b/>
                <w:bCs/>
                <w:sz w:val="21"/>
                <w:szCs w:val="21"/>
                <w:lang w:val="en-US" w:eastAsia="zh-CN"/>
              </w:rPr>
              <w:t>材质</w:t>
            </w:r>
          </w:p>
        </w:tc>
        <w:tc>
          <w:tcPr>
            <w:tcW w:w="701" w:type="dxa"/>
            <w:tcBorders>
              <w:top w:val="single" w:color="auto" w:sz="4" w:space="0"/>
            </w:tcBorders>
          </w:tcPr>
          <w:p w14:paraId="1202181E">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b/>
                <w:bCs/>
                <w:sz w:val="21"/>
                <w:szCs w:val="21"/>
                <w:lang w:val="en-US" w:eastAsia="zh-CN"/>
              </w:rPr>
            </w:pPr>
            <w:r>
              <w:rPr>
                <w:rFonts w:hint="eastAsia"/>
                <w:b/>
                <w:bCs/>
                <w:sz w:val="21"/>
                <w:szCs w:val="21"/>
                <w:lang w:val="en-US" w:eastAsia="zh-CN"/>
              </w:rPr>
              <w:t>层次</w:t>
            </w:r>
          </w:p>
          <w:p w14:paraId="68F6C976">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b/>
                <w:bCs/>
                <w:sz w:val="21"/>
                <w:szCs w:val="21"/>
                <w:lang w:val="en-US" w:eastAsia="zh-CN"/>
              </w:rPr>
            </w:pPr>
            <w:r>
              <w:rPr>
                <w:rFonts w:hint="eastAsia"/>
                <w:b/>
                <w:bCs/>
                <w:sz w:val="21"/>
                <w:szCs w:val="21"/>
                <w:lang w:val="en-US" w:eastAsia="zh-CN"/>
              </w:rPr>
              <w:t>质量</w:t>
            </w:r>
          </w:p>
        </w:tc>
        <w:tc>
          <w:tcPr>
            <w:tcW w:w="1151" w:type="dxa"/>
            <w:tcBorders>
              <w:top w:val="single" w:color="auto" w:sz="4" w:space="0"/>
            </w:tcBorders>
          </w:tcPr>
          <w:p w14:paraId="73B2B6DE">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b/>
                <w:bCs/>
                <w:sz w:val="21"/>
                <w:szCs w:val="21"/>
                <w:lang w:val="en-US" w:eastAsia="zh-CN"/>
              </w:rPr>
            </w:pPr>
            <w:r>
              <w:rPr>
                <w:rFonts w:hint="eastAsia"/>
                <w:b/>
                <w:bCs/>
                <w:sz w:val="21"/>
                <w:szCs w:val="21"/>
                <w:lang w:val="en-US" w:eastAsia="zh-CN"/>
              </w:rPr>
              <w:t>生产企业</w:t>
            </w:r>
          </w:p>
        </w:tc>
        <w:tc>
          <w:tcPr>
            <w:tcW w:w="932" w:type="dxa"/>
            <w:tcBorders>
              <w:top w:val="single" w:color="auto" w:sz="4" w:space="0"/>
            </w:tcBorders>
          </w:tcPr>
          <w:p w14:paraId="45EF6669">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b/>
                <w:bCs/>
                <w:sz w:val="21"/>
                <w:szCs w:val="21"/>
                <w:lang w:val="en-US" w:eastAsia="zh-CN"/>
              </w:rPr>
            </w:pPr>
            <w:r>
              <w:rPr>
                <w:rFonts w:hint="eastAsia"/>
                <w:b/>
                <w:bCs/>
                <w:sz w:val="21"/>
                <w:szCs w:val="21"/>
                <w:lang w:val="en-US" w:eastAsia="zh-CN"/>
              </w:rPr>
              <w:t>挂网价</w:t>
            </w:r>
          </w:p>
          <w:p w14:paraId="5A5ADE28">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b/>
                <w:bCs/>
                <w:sz w:val="21"/>
                <w:szCs w:val="21"/>
                <w:lang w:val="en-US" w:eastAsia="zh-CN"/>
              </w:rPr>
            </w:pPr>
            <w:r>
              <w:rPr>
                <w:rFonts w:hint="eastAsia"/>
                <w:b/>
                <w:bCs/>
                <w:sz w:val="21"/>
                <w:szCs w:val="21"/>
                <w:lang w:val="en-US" w:eastAsia="zh-CN"/>
              </w:rPr>
              <w:t>（元）</w:t>
            </w:r>
          </w:p>
        </w:tc>
        <w:tc>
          <w:tcPr>
            <w:tcW w:w="804" w:type="dxa"/>
            <w:tcBorders>
              <w:top w:val="single" w:color="auto" w:sz="4" w:space="0"/>
            </w:tcBorders>
          </w:tcPr>
          <w:p w14:paraId="100A9237">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b/>
                <w:bCs/>
                <w:sz w:val="21"/>
                <w:szCs w:val="21"/>
                <w:lang w:val="en-US" w:eastAsia="zh-CN"/>
              </w:rPr>
            </w:pPr>
            <w:r>
              <w:rPr>
                <w:rFonts w:hint="eastAsia"/>
                <w:b/>
                <w:bCs/>
                <w:sz w:val="21"/>
                <w:szCs w:val="21"/>
                <w:lang w:val="en-US" w:eastAsia="zh-CN"/>
              </w:rPr>
              <w:t>报价</w:t>
            </w:r>
          </w:p>
          <w:p w14:paraId="65324802">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b/>
                <w:bCs/>
                <w:sz w:val="21"/>
                <w:szCs w:val="21"/>
                <w:lang w:val="en-US" w:eastAsia="zh-CN"/>
              </w:rPr>
            </w:pPr>
            <w:r>
              <w:rPr>
                <w:rFonts w:hint="eastAsia"/>
                <w:b/>
                <w:bCs/>
                <w:sz w:val="21"/>
                <w:szCs w:val="21"/>
                <w:lang w:val="en-US" w:eastAsia="zh-CN"/>
              </w:rPr>
              <w:t>（元）</w:t>
            </w:r>
          </w:p>
        </w:tc>
        <w:tc>
          <w:tcPr>
            <w:tcW w:w="659" w:type="dxa"/>
            <w:tcBorders>
              <w:top w:val="single" w:color="auto" w:sz="4" w:space="0"/>
            </w:tcBorders>
          </w:tcPr>
          <w:p w14:paraId="7DE2DF61">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b/>
                <w:bCs/>
                <w:sz w:val="21"/>
                <w:szCs w:val="21"/>
                <w:lang w:val="en-US" w:eastAsia="zh-CN"/>
              </w:rPr>
            </w:pPr>
            <w:r>
              <w:rPr>
                <w:rFonts w:hint="eastAsia"/>
                <w:b/>
                <w:bCs/>
                <w:sz w:val="21"/>
                <w:szCs w:val="21"/>
                <w:lang w:val="en-US" w:eastAsia="zh-CN"/>
              </w:rPr>
              <w:t>投标</w:t>
            </w:r>
          </w:p>
          <w:p w14:paraId="58B31FA4">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b/>
                <w:bCs/>
                <w:sz w:val="21"/>
                <w:szCs w:val="21"/>
                <w:lang w:val="en-US" w:eastAsia="zh-CN"/>
              </w:rPr>
            </w:pPr>
            <w:r>
              <w:rPr>
                <w:rFonts w:hint="eastAsia"/>
                <w:b/>
                <w:bCs/>
                <w:sz w:val="21"/>
                <w:szCs w:val="21"/>
                <w:lang w:val="en-US" w:eastAsia="zh-CN"/>
              </w:rPr>
              <w:t>企业</w:t>
            </w:r>
          </w:p>
        </w:tc>
        <w:tc>
          <w:tcPr>
            <w:tcW w:w="755" w:type="dxa"/>
            <w:tcBorders>
              <w:top w:val="single" w:color="auto" w:sz="4" w:space="0"/>
            </w:tcBorders>
          </w:tcPr>
          <w:p w14:paraId="2ADFEC92">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b/>
                <w:bCs/>
                <w:sz w:val="21"/>
                <w:szCs w:val="21"/>
                <w:lang w:val="en-US" w:eastAsia="zh-CN"/>
              </w:rPr>
            </w:pPr>
            <w:r>
              <w:rPr>
                <w:rFonts w:hint="eastAsia"/>
                <w:b/>
                <w:bCs/>
                <w:sz w:val="21"/>
                <w:szCs w:val="21"/>
                <w:lang w:val="en-US" w:eastAsia="zh-CN"/>
              </w:rPr>
              <w:t>备注</w:t>
            </w:r>
          </w:p>
        </w:tc>
      </w:tr>
      <w:tr w14:paraId="7124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45" w:type="dxa"/>
          </w:tcPr>
          <w:p w14:paraId="3402D657">
            <w:pPr>
              <w:keepNext w:val="0"/>
              <w:keepLines w:val="0"/>
              <w:pageBreakBefore w:val="0"/>
              <w:numPr>
                <w:ilvl w:val="0"/>
                <w:numId w:val="0"/>
              </w:numPr>
              <w:kinsoku/>
              <w:wordWrap/>
              <w:overflowPunct/>
              <w:topLinePunct w:val="0"/>
              <w:autoSpaceDE/>
              <w:autoSpaceDN/>
              <w:bidi w:val="0"/>
              <w:adjustRightInd/>
              <w:snapToGrid/>
              <w:spacing w:line="240" w:lineRule="auto"/>
              <w:textAlignment w:val="auto"/>
            </w:pPr>
          </w:p>
        </w:tc>
        <w:tc>
          <w:tcPr>
            <w:tcW w:w="678" w:type="dxa"/>
          </w:tcPr>
          <w:p w14:paraId="21EFD945">
            <w:pPr>
              <w:keepNext w:val="0"/>
              <w:keepLines w:val="0"/>
              <w:pageBreakBefore w:val="0"/>
              <w:numPr>
                <w:ilvl w:val="0"/>
                <w:numId w:val="0"/>
              </w:numPr>
              <w:kinsoku/>
              <w:wordWrap/>
              <w:overflowPunct/>
              <w:topLinePunct w:val="0"/>
              <w:autoSpaceDE/>
              <w:autoSpaceDN/>
              <w:bidi w:val="0"/>
              <w:adjustRightInd/>
              <w:snapToGrid/>
              <w:spacing w:line="240" w:lineRule="auto"/>
              <w:textAlignment w:val="auto"/>
            </w:pPr>
          </w:p>
        </w:tc>
        <w:tc>
          <w:tcPr>
            <w:tcW w:w="945" w:type="dxa"/>
          </w:tcPr>
          <w:p w14:paraId="46981ED4">
            <w:pPr>
              <w:keepNext w:val="0"/>
              <w:keepLines w:val="0"/>
              <w:pageBreakBefore w:val="0"/>
              <w:numPr>
                <w:ilvl w:val="0"/>
                <w:numId w:val="0"/>
              </w:numPr>
              <w:kinsoku/>
              <w:wordWrap/>
              <w:overflowPunct/>
              <w:topLinePunct w:val="0"/>
              <w:autoSpaceDE/>
              <w:autoSpaceDN/>
              <w:bidi w:val="0"/>
              <w:adjustRightInd/>
              <w:snapToGrid/>
              <w:spacing w:line="240" w:lineRule="auto"/>
              <w:textAlignment w:val="auto"/>
            </w:pPr>
          </w:p>
        </w:tc>
        <w:tc>
          <w:tcPr>
            <w:tcW w:w="673" w:type="dxa"/>
          </w:tcPr>
          <w:p w14:paraId="135C83F1">
            <w:pPr>
              <w:keepNext w:val="0"/>
              <w:keepLines w:val="0"/>
              <w:pageBreakBefore w:val="0"/>
              <w:numPr>
                <w:ilvl w:val="0"/>
                <w:numId w:val="0"/>
              </w:numPr>
              <w:kinsoku/>
              <w:wordWrap/>
              <w:overflowPunct/>
              <w:topLinePunct w:val="0"/>
              <w:autoSpaceDE/>
              <w:autoSpaceDN/>
              <w:bidi w:val="0"/>
              <w:adjustRightInd/>
              <w:snapToGrid/>
              <w:spacing w:line="240" w:lineRule="auto"/>
              <w:textAlignment w:val="auto"/>
            </w:pPr>
          </w:p>
        </w:tc>
        <w:tc>
          <w:tcPr>
            <w:tcW w:w="777" w:type="dxa"/>
          </w:tcPr>
          <w:p w14:paraId="6D655592">
            <w:pPr>
              <w:keepNext w:val="0"/>
              <w:keepLines w:val="0"/>
              <w:pageBreakBefore w:val="0"/>
              <w:numPr>
                <w:ilvl w:val="0"/>
                <w:numId w:val="0"/>
              </w:numPr>
              <w:kinsoku/>
              <w:wordWrap/>
              <w:overflowPunct/>
              <w:topLinePunct w:val="0"/>
              <w:autoSpaceDE/>
              <w:autoSpaceDN/>
              <w:bidi w:val="0"/>
              <w:adjustRightInd/>
              <w:snapToGrid/>
              <w:spacing w:line="240" w:lineRule="auto"/>
              <w:textAlignment w:val="auto"/>
            </w:pPr>
          </w:p>
        </w:tc>
        <w:tc>
          <w:tcPr>
            <w:tcW w:w="799" w:type="dxa"/>
          </w:tcPr>
          <w:p w14:paraId="5C2621A9">
            <w:pPr>
              <w:keepNext w:val="0"/>
              <w:keepLines w:val="0"/>
              <w:pageBreakBefore w:val="0"/>
              <w:numPr>
                <w:ilvl w:val="0"/>
                <w:numId w:val="0"/>
              </w:numPr>
              <w:kinsoku/>
              <w:wordWrap/>
              <w:overflowPunct/>
              <w:topLinePunct w:val="0"/>
              <w:autoSpaceDE/>
              <w:autoSpaceDN/>
              <w:bidi w:val="0"/>
              <w:adjustRightInd/>
              <w:snapToGrid/>
              <w:spacing w:line="240" w:lineRule="auto"/>
              <w:textAlignment w:val="auto"/>
            </w:pPr>
          </w:p>
        </w:tc>
        <w:tc>
          <w:tcPr>
            <w:tcW w:w="566" w:type="dxa"/>
          </w:tcPr>
          <w:p w14:paraId="742B860E">
            <w:pPr>
              <w:keepNext w:val="0"/>
              <w:keepLines w:val="0"/>
              <w:pageBreakBefore w:val="0"/>
              <w:numPr>
                <w:ilvl w:val="0"/>
                <w:numId w:val="0"/>
              </w:numPr>
              <w:kinsoku/>
              <w:wordWrap/>
              <w:overflowPunct/>
              <w:topLinePunct w:val="0"/>
              <w:autoSpaceDE/>
              <w:autoSpaceDN/>
              <w:bidi w:val="0"/>
              <w:adjustRightInd/>
              <w:snapToGrid/>
              <w:spacing w:line="240" w:lineRule="auto"/>
              <w:textAlignment w:val="auto"/>
            </w:pPr>
          </w:p>
        </w:tc>
        <w:tc>
          <w:tcPr>
            <w:tcW w:w="667" w:type="dxa"/>
          </w:tcPr>
          <w:p w14:paraId="50EAA1B1">
            <w:pPr>
              <w:keepNext w:val="0"/>
              <w:keepLines w:val="0"/>
              <w:pageBreakBefore w:val="0"/>
              <w:numPr>
                <w:ilvl w:val="0"/>
                <w:numId w:val="0"/>
              </w:numPr>
              <w:kinsoku/>
              <w:wordWrap/>
              <w:overflowPunct/>
              <w:topLinePunct w:val="0"/>
              <w:autoSpaceDE/>
              <w:autoSpaceDN/>
              <w:bidi w:val="0"/>
              <w:adjustRightInd/>
              <w:snapToGrid/>
              <w:spacing w:line="240" w:lineRule="auto"/>
              <w:textAlignment w:val="auto"/>
            </w:pPr>
          </w:p>
        </w:tc>
        <w:tc>
          <w:tcPr>
            <w:tcW w:w="450" w:type="dxa"/>
          </w:tcPr>
          <w:p w14:paraId="6984C73B">
            <w:pPr>
              <w:keepNext w:val="0"/>
              <w:keepLines w:val="0"/>
              <w:pageBreakBefore w:val="0"/>
              <w:numPr>
                <w:ilvl w:val="0"/>
                <w:numId w:val="0"/>
              </w:numPr>
              <w:kinsoku/>
              <w:wordWrap/>
              <w:overflowPunct/>
              <w:topLinePunct w:val="0"/>
              <w:autoSpaceDE/>
              <w:autoSpaceDN/>
              <w:bidi w:val="0"/>
              <w:adjustRightInd/>
              <w:snapToGrid/>
              <w:spacing w:line="240" w:lineRule="auto"/>
              <w:textAlignment w:val="auto"/>
            </w:pPr>
          </w:p>
        </w:tc>
        <w:tc>
          <w:tcPr>
            <w:tcW w:w="518" w:type="dxa"/>
          </w:tcPr>
          <w:p w14:paraId="40502295">
            <w:pPr>
              <w:keepNext w:val="0"/>
              <w:keepLines w:val="0"/>
              <w:pageBreakBefore w:val="0"/>
              <w:numPr>
                <w:ilvl w:val="0"/>
                <w:numId w:val="0"/>
              </w:numPr>
              <w:kinsoku/>
              <w:wordWrap/>
              <w:overflowPunct/>
              <w:topLinePunct w:val="0"/>
              <w:autoSpaceDE/>
              <w:autoSpaceDN/>
              <w:bidi w:val="0"/>
              <w:adjustRightInd/>
              <w:snapToGrid/>
              <w:spacing w:line="240" w:lineRule="auto"/>
              <w:textAlignment w:val="auto"/>
            </w:pPr>
          </w:p>
        </w:tc>
        <w:tc>
          <w:tcPr>
            <w:tcW w:w="701" w:type="dxa"/>
          </w:tcPr>
          <w:p w14:paraId="046942C7">
            <w:pPr>
              <w:keepNext w:val="0"/>
              <w:keepLines w:val="0"/>
              <w:pageBreakBefore w:val="0"/>
              <w:numPr>
                <w:ilvl w:val="0"/>
                <w:numId w:val="0"/>
              </w:numPr>
              <w:kinsoku/>
              <w:wordWrap/>
              <w:overflowPunct/>
              <w:topLinePunct w:val="0"/>
              <w:autoSpaceDE/>
              <w:autoSpaceDN/>
              <w:bidi w:val="0"/>
              <w:adjustRightInd/>
              <w:snapToGrid/>
              <w:spacing w:line="240" w:lineRule="auto"/>
              <w:textAlignment w:val="auto"/>
            </w:pPr>
          </w:p>
        </w:tc>
        <w:tc>
          <w:tcPr>
            <w:tcW w:w="1151" w:type="dxa"/>
          </w:tcPr>
          <w:p w14:paraId="6DD304D9">
            <w:pPr>
              <w:keepNext w:val="0"/>
              <w:keepLines w:val="0"/>
              <w:pageBreakBefore w:val="0"/>
              <w:numPr>
                <w:ilvl w:val="0"/>
                <w:numId w:val="0"/>
              </w:numPr>
              <w:kinsoku/>
              <w:wordWrap/>
              <w:overflowPunct/>
              <w:topLinePunct w:val="0"/>
              <w:autoSpaceDE/>
              <w:autoSpaceDN/>
              <w:bidi w:val="0"/>
              <w:adjustRightInd/>
              <w:snapToGrid/>
              <w:spacing w:line="240" w:lineRule="auto"/>
              <w:textAlignment w:val="auto"/>
            </w:pPr>
          </w:p>
        </w:tc>
        <w:tc>
          <w:tcPr>
            <w:tcW w:w="932" w:type="dxa"/>
          </w:tcPr>
          <w:p w14:paraId="6E52A946">
            <w:pPr>
              <w:keepNext w:val="0"/>
              <w:keepLines w:val="0"/>
              <w:pageBreakBefore w:val="0"/>
              <w:numPr>
                <w:ilvl w:val="0"/>
                <w:numId w:val="0"/>
              </w:numPr>
              <w:kinsoku/>
              <w:wordWrap/>
              <w:overflowPunct/>
              <w:topLinePunct w:val="0"/>
              <w:autoSpaceDE/>
              <w:autoSpaceDN/>
              <w:bidi w:val="0"/>
              <w:adjustRightInd/>
              <w:snapToGrid/>
              <w:spacing w:line="240" w:lineRule="auto"/>
              <w:textAlignment w:val="auto"/>
            </w:pPr>
          </w:p>
        </w:tc>
        <w:tc>
          <w:tcPr>
            <w:tcW w:w="804" w:type="dxa"/>
          </w:tcPr>
          <w:p w14:paraId="721E620F">
            <w:pPr>
              <w:keepNext w:val="0"/>
              <w:keepLines w:val="0"/>
              <w:pageBreakBefore w:val="0"/>
              <w:numPr>
                <w:ilvl w:val="0"/>
                <w:numId w:val="0"/>
              </w:numPr>
              <w:kinsoku/>
              <w:wordWrap/>
              <w:overflowPunct/>
              <w:topLinePunct w:val="0"/>
              <w:autoSpaceDE/>
              <w:autoSpaceDN/>
              <w:bidi w:val="0"/>
              <w:adjustRightInd/>
              <w:snapToGrid/>
              <w:spacing w:line="240" w:lineRule="auto"/>
              <w:textAlignment w:val="auto"/>
            </w:pPr>
          </w:p>
        </w:tc>
        <w:tc>
          <w:tcPr>
            <w:tcW w:w="659" w:type="dxa"/>
          </w:tcPr>
          <w:p w14:paraId="777688B9">
            <w:pPr>
              <w:keepNext w:val="0"/>
              <w:keepLines w:val="0"/>
              <w:pageBreakBefore w:val="0"/>
              <w:numPr>
                <w:ilvl w:val="0"/>
                <w:numId w:val="0"/>
              </w:numPr>
              <w:kinsoku/>
              <w:wordWrap/>
              <w:overflowPunct/>
              <w:topLinePunct w:val="0"/>
              <w:autoSpaceDE/>
              <w:autoSpaceDN/>
              <w:bidi w:val="0"/>
              <w:adjustRightInd/>
              <w:snapToGrid/>
              <w:spacing w:line="240" w:lineRule="auto"/>
              <w:textAlignment w:val="auto"/>
            </w:pPr>
          </w:p>
        </w:tc>
        <w:tc>
          <w:tcPr>
            <w:tcW w:w="755" w:type="dxa"/>
          </w:tcPr>
          <w:p w14:paraId="63AD2AB2">
            <w:pPr>
              <w:keepNext w:val="0"/>
              <w:keepLines w:val="0"/>
              <w:pageBreakBefore w:val="0"/>
              <w:numPr>
                <w:ilvl w:val="0"/>
                <w:numId w:val="0"/>
              </w:numPr>
              <w:kinsoku/>
              <w:wordWrap/>
              <w:overflowPunct/>
              <w:topLinePunct w:val="0"/>
              <w:autoSpaceDE/>
              <w:autoSpaceDN/>
              <w:bidi w:val="0"/>
              <w:adjustRightInd/>
              <w:snapToGrid/>
              <w:spacing w:line="240" w:lineRule="auto"/>
              <w:textAlignment w:val="auto"/>
            </w:pPr>
          </w:p>
        </w:tc>
      </w:tr>
      <w:tr w14:paraId="7EFF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1620" w:type="dxa"/>
            <w:gridSpan w:val="16"/>
            <w:tcBorders>
              <w:top w:val="single" w:color="auto" w:sz="4" w:space="0"/>
              <w:left w:val="nil"/>
              <w:bottom w:val="nil"/>
              <w:right w:val="nil"/>
            </w:tcBorders>
          </w:tcPr>
          <w:p w14:paraId="5E61E351">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b/>
                <w:bCs/>
                <w:sz w:val="24"/>
                <w:szCs w:val="24"/>
                <w:lang w:eastAsia="zh-CN"/>
              </w:rPr>
            </w:pPr>
          </w:p>
          <w:p w14:paraId="0FB5D98F">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eastAsia="宋体"/>
                <w:b w:val="0"/>
                <w:bCs w:val="0"/>
                <w:sz w:val="24"/>
                <w:szCs w:val="24"/>
                <w:lang w:val="en-US" w:eastAsia="zh-CN"/>
              </w:rPr>
            </w:pPr>
            <w:r>
              <w:rPr>
                <w:rFonts w:hint="eastAsia"/>
                <w:b/>
                <w:bCs/>
                <w:sz w:val="24"/>
                <w:szCs w:val="24"/>
                <w:lang w:eastAsia="zh-CN"/>
              </w:rPr>
              <w:t>说明：</w:t>
            </w:r>
            <w:r>
              <w:rPr>
                <w:rFonts w:hint="eastAsia"/>
                <w:b w:val="0"/>
                <w:bCs w:val="0"/>
                <w:sz w:val="24"/>
                <w:szCs w:val="24"/>
                <w:lang w:val="en-US" w:eastAsia="zh-CN"/>
              </w:rPr>
              <w:t>1.“序号”按所投产品顺序编制；2.所填产品信息格式应与江西省医药采购服务平台目录中相符。</w:t>
            </w:r>
          </w:p>
        </w:tc>
      </w:tr>
      <w:tr w14:paraId="1304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1620" w:type="dxa"/>
            <w:gridSpan w:val="16"/>
            <w:tcBorders>
              <w:top w:val="nil"/>
              <w:left w:val="nil"/>
              <w:bottom w:val="nil"/>
              <w:right w:val="nil"/>
            </w:tcBorders>
          </w:tcPr>
          <w:p w14:paraId="04EB8492">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b/>
                <w:bCs/>
                <w:sz w:val="24"/>
                <w:szCs w:val="24"/>
                <w:lang w:eastAsia="zh-CN"/>
              </w:rPr>
            </w:pPr>
          </w:p>
          <w:p w14:paraId="4694ED5F">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eastAsia="宋体"/>
                <w:sz w:val="24"/>
                <w:szCs w:val="24"/>
                <w:lang w:val="en-US" w:eastAsia="zh-CN"/>
              </w:rPr>
            </w:pPr>
            <w:r>
              <w:rPr>
                <w:rFonts w:hint="eastAsia"/>
                <w:b/>
                <w:bCs/>
                <w:sz w:val="24"/>
                <w:szCs w:val="24"/>
                <w:lang w:eastAsia="zh-CN"/>
              </w:rPr>
              <w:t>投标人（盖章）：</w:t>
            </w:r>
            <w:r>
              <w:rPr>
                <w:rFonts w:hint="eastAsia"/>
                <w:b/>
                <w:bCs/>
                <w:sz w:val="24"/>
                <w:szCs w:val="24"/>
                <w:lang w:val="en-US" w:eastAsia="zh-CN"/>
              </w:rPr>
              <w:t xml:space="preserve">                      法定代表人或委托人签字：                 日期：</w:t>
            </w:r>
          </w:p>
        </w:tc>
      </w:tr>
    </w:tbl>
    <w:p w14:paraId="30A8958C">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lang w:val="en-US" w:eastAsia="zh-CN"/>
        </w:rPr>
      </w:pPr>
    </w:p>
    <w:p w14:paraId="6CF6A8F0">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zNWE2ZGFlZDFmMzJlZDgwNTY2ZDAwNjBmYWMxZDAifQ=="/>
  </w:docVars>
  <w:rsids>
    <w:rsidRoot w:val="00000000"/>
    <w:rsid w:val="00D24FF0"/>
    <w:rsid w:val="04E05008"/>
    <w:rsid w:val="08B9073E"/>
    <w:rsid w:val="096C5E42"/>
    <w:rsid w:val="0D0C3638"/>
    <w:rsid w:val="0DEE2D3E"/>
    <w:rsid w:val="0E1409F6"/>
    <w:rsid w:val="0EED16A2"/>
    <w:rsid w:val="0F3F7CF5"/>
    <w:rsid w:val="10AF4A06"/>
    <w:rsid w:val="12B777C4"/>
    <w:rsid w:val="1444171B"/>
    <w:rsid w:val="14684B99"/>
    <w:rsid w:val="166D15EC"/>
    <w:rsid w:val="17D968E2"/>
    <w:rsid w:val="18126FBB"/>
    <w:rsid w:val="19F1171D"/>
    <w:rsid w:val="1B0257C5"/>
    <w:rsid w:val="1E5538B5"/>
    <w:rsid w:val="1ECC5479"/>
    <w:rsid w:val="2141361E"/>
    <w:rsid w:val="22087AAA"/>
    <w:rsid w:val="22D9775B"/>
    <w:rsid w:val="24AC0888"/>
    <w:rsid w:val="26D65F40"/>
    <w:rsid w:val="272010F7"/>
    <w:rsid w:val="27992F6D"/>
    <w:rsid w:val="27B8079A"/>
    <w:rsid w:val="2B923D48"/>
    <w:rsid w:val="2D4E7161"/>
    <w:rsid w:val="2ED50437"/>
    <w:rsid w:val="2FCD13DA"/>
    <w:rsid w:val="3010065A"/>
    <w:rsid w:val="32A7688E"/>
    <w:rsid w:val="333C6822"/>
    <w:rsid w:val="35941EE7"/>
    <w:rsid w:val="375515B4"/>
    <w:rsid w:val="389030DC"/>
    <w:rsid w:val="39245C2C"/>
    <w:rsid w:val="3C20321B"/>
    <w:rsid w:val="3DE37FC7"/>
    <w:rsid w:val="3E6E0A2B"/>
    <w:rsid w:val="3E7E3AE6"/>
    <w:rsid w:val="3EF67524"/>
    <w:rsid w:val="403F72A5"/>
    <w:rsid w:val="431A1904"/>
    <w:rsid w:val="48C92CD3"/>
    <w:rsid w:val="4A0A169B"/>
    <w:rsid w:val="4B1962E3"/>
    <w:rsid w:val="4D1B1B25"/>
    <w:rsid w:val="4F8265E1"/>
    <w:rsid w:val="50141E87"/>
    <w:rsid w:val="502727A0"/>
    <w:rsid w:val="509074BA"/>
    <w:rsid w:val="51F83758"/>
    <w:rsid w:val="53726DDE"/>
    <w:rsid w:val="53E76DBB"/>
    <w:rsid w:val="550B29A2"/>
    <w:rsid w:val="557D118D"/>
    <w:rsid w:val="57E74053"/>
    <w:rsid w:val="595F636A"/>
    <w:rsid w:val="59D54EBF"/>
    <w:rsid w:val="5A6C2A57"/>
    <w:rsid w:val="5BA26C0E"/>
    <w:rsid w:val="5F4973A1"/>
    <w:rsid w:val="657C0A8A"/>
    <w:rsid w:val="66197664"/>
    <w:rsid w:val="675B4F1E"/>
    <w:rsid w:val="678B49FB"/>
    <w:rsid w:val="67E505E4"/>
    <w:rsid w:val="67FC76A6"/>
    <w:rsid w:val="6B016D82"/>
    <w:rsid w:val="6B76291A"/>
    <w:rsid w:val="6C612FA7"/>
    <w:rsid w:val="6D834CB9"/>
    <w:rsid w:val="7047792D"/>
    <w:rsid w:val="71202091"/>
    <w:rsid w:val="719E3BA2"/>
    <w:rsid w:val="733028FA"/>
    <w:rsid w:val="75175B20"/>
    <w:rsid w:val="75E81A45"/>
    <w:rsid w:val="760F192A"/>
    <w:rsid w:val="77231811"/>
    <w:rsid w:val="78566FA3"/>
    <w:rsid w:val="7B6C6714"/>
    <w:rsid w:val="7B8D075A"/>
    <w:rsid w:val="7D24527D"/>
    <w:rsid w:val="7DAA5820"/>
    <w:rsid w:val="7F9D3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font3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2092</Words>
  <Characters>2199</Characters>
  <Paragraphs>159</Paragraphs>
  <TotalTime>215</TotalTime>
  <ScaleCrop>false</ScaleCrop>
  <LinksUpToDate>false</LinksUpToDate>
  <CharactersWithSpaces>2337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2021-08-24T01:46:00Z</dcterms:created>
  <dc:creator>风醉</dc:creator>
  <cp:lastModifiedBy>幕冉</cp:lastModifiedBy>
  <cp:lastPrinted>2025-09-18T07:04:00Z</cp:lastPrinted>
  <dcterms:modified xsi:type="dcterms:W3CDTF">2026-01-16T05:55:00Z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6C491466FA9E4648B7EFC77F05A08027_13</vt:lpwstr>
  </property>
  <property fmtid="{D5CDD505-2E9C-101B-9397-08002B2CF9AE}" pid="4" name="KSOTemplateDocerSaveRecord">
    <vt:lpwstr>eyJoZGlkIjoiZTNlMjFhNmNmYjNlNDE4ZDk3ZmZjZGUxNzYwMDc0NTciLCJ1c2VySWQiOiI0NDYzMzIyNTEifQ==</vt:lpwstr>
  </property>
</Properties>
</file>