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hint="eastAsia" w:ascii="宋体" w:hAnsi="宋体" w:eastAsia="宋体" w:cs="宋体"/>
          <w:color w:val="auto"/>
          <w:sz w:val="72"/>
          <w:highlight w:val="none"/>
        </w:rPr>
      </w:pPr>
    </w:p>
    <w:p>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pPr>
        <w:jc w:val="center"/>
        <w:rPr>
          <w:rFonts w:hint="eastAsia" w:ascii="宋体" w:hAnsi="宋体" w:eastAsia="宋体" w:cs="宋体"/>
          <w:b/>
          <w:bCs/>
          <w:color w:val="auto"/>
          <w:sz w:val="36"/>
          <w:szCs w:val="36"/>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上饶市广丰区中医院液氦采购项目</w:t>
      </w:r>
    </w:p>
    <w:p>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pPr>
        <w:pStyle w:val="3"/>
        <w:rPr>
          <w:rFonts w:hint="eastAsia" w:ascii="宋体" w:hAnsi="宋体" w:eastAsia="宋体" w:cs="宋体"/>
          <w:color w:val="auto"/>
          <w:highlight w:val="none"/>
        </w:rPr>
      </w:pPr>
    </w:p>
    <w:p>
      <w:pPr>
        <w:spacing w:line="480" w:lineRule="auto"/>
        <w:rPr>
          <w:rFonts w:hint="eastAsia" w:ascii="宋体" w:hAnsi="宋体" w:eastAsia="宋体" w:cs="宋体"/>
          <w:color w:val="auto"/>
          <w:sz w:val="36"/>
          <w:highlight w:val="none"/>
        </w:rPr>
      </w:pPr>
    </w:p>
    <w:p>
      <w:pPr>
        <w:spacing w:line="480" w:lineRule="auto"/>
        <w:rPr>
          <w:rFonts w:hint="eastAsia" w:ascii="宋体" w:hAnsi="宋体" w:eastAsia="宋体" w:cs="宋体"/>
          <w:color w:val="auto"/>
          <w:sz w:val="36"/>
          <w:highlight w:val="none"/>
        </w:rPr>
      </w:pPr>
    </w:p>
    <w:p>
      <w:pPr>
        <w:pStyle w:val="3"/>
        <w:rPr>
          <w:rFonts w:hint="eastAsia" w:ascii="宋体" w:hAnsi="宋体" w:eastAsia="宋体" w:cs="宋体"/>
          <w:color w:val="auto"/>
          <w:highlight w:val="none"/>
        </w:rPr>
      </w:pPr>
    </w:p>
    <w:p>
      <w:pPr>
        <w:rPr>
          <w:rFonts w:hint="eastAsia"/>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Style w:val="30"/>
          <w:rFonts w:hint="eastAsia" w:ascii="宋体" w:hAnsi="宋体" w:eastAsia="宋体" w:cs="宋体"/>
          <w:b w:val="0"/>
          <w:color w:val="auto"/>
          <w:highlight w:val="none"/>
        </w:rPr>
      </w:pPr>
    </w:p>
    <w:p>
      <w:pPr>
        <w:pStyle w:val="19"/>
        <w:rPr>
          <w:rStyle w:val="30"/>
          <w:rFonts w:hint="eastAsia" w:ascii="宋体" w:hAnsi="宋体" w:eastAsia="宋体" w:cs="宋体"/>
          <w:b w:val="0"/>
          <w:color w:val="auto"/>
          <w:highlight w:val="none"/>
        </w:rPr>
      </w:pPr>
    </w:p>
    <w:p>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2824457"/>
      <w:bookmarkStart w:id="2" w:name="_Toc225565892"/>
      <w:bookmarkStart w:id="3" w:name="_Toc225565875"/>
      <w:r>
        <w:rPr>
          <w:rFonts w:hint="eastAsia" w:ascii="宋体" w:hAnsi="宋体" w:eastAsia="宋体" w:cs="宋体"/>
          <w:b/>
          <w:color w:val="auto"/>
          <w:sz w:val="32"/>
          <w:szCs w:val="32"/>
          <w:highlight w:val="none"/>
        </w:rPr>
        <w:t>询价邀请</w:t>
      </w:r>
      <w:bookmarkEnd w:id="0"/>
    </w:p>
    <w:p>
      <w:pPr>
        <w:numPr>
          <w:ilvl w:val="0"/>
          <w:numId w:val="0"/>
        </w:numPr>
        <w:rPr>
          <w:rFonts w:hint="eastAsia"/>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上饶市广丰区中医院液氦采购项目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上饶市广丰区中医院液氦采购项目</w:t>
      </w:r>
    </w:p>
    <w:p>
      <w:pPr>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eastAsia="zh-CN"/>
        </w:rPr>
        <w:t xml:space="preserve"> </w:t>
      </w:r>
      <w:r>
        <w:rPr>
          <w:rFonts w:hint="eastAsia" w:ascii="宋体" w:hAnsi="宋体" w:cs="宋体"/>
          <w:i w:val="0"/>
          <w:iCs w:val="0"/>
          <w:color w:val="auto"/>
          <w:sz w:val="24"/>
          <w:szCs w:val="24"/>
          <w:highlight w:val="none"/>
          <w:lang w:val="en-US" w:eastAsia="zh-CN"/>
        </w:rPr>
        <w:t>55000</w:t>
      </w:r>
      <w:r>
        <w:rPr>
          <w:rFonts w:hint="eastAsia" w:ascii="宋体" w:hAnsi="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lang w:eastAsia="zh-CN"/>
        </w:rPr>
        <w:t>民币</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9" w:type="pct"/>
        <w:tblInd w:w="0" w:type="dxa"/>
        <w:tblLayout w:type="autofit"/>
        <w:tblCellMar>
          <w:top w:w="0" w:type="dxa"/>
          <w:left w:w="108" w:type="dxa"/>
          <w:bottom w:w="0" w:type="dxa"/>
          <w:right w:w="108" w:type="dxa"/>
        </w:tblCellMar>
      </w:tblPr>
      <w:tblGrid>
        <w:gridCol w:w="2509"/>
        <w:gridCol w:w="2797"/>
        <w:gridCol w:w="4547"/>
      </w:tblGrid>
      <w:tr>
        <w:tblPrEx>
          <w:tblCellMar>
            <w:top w:w="0" w:type="dxa"/>
            <w:left w:w="108" w:type="dxa"/>
            <w:bottom w:w="0" w:type="dxa"/>
            <w:right w:w="108" w:type="dxa"/>
          </w:tblCellMar>
        </w:tblPrEx>
        <w:trPr>
          <w:trHeight w:val="559" w:hRule="atLeast"/>
        </w:trPr>
        <w:tc>
          <w:tcPr>
            <w:tcW w:w="1273" w:type="pc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1419" w:type="pct"/>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tc>
        <w:tc>
          <w:tcPr>
            <w:tcW w:w="2307"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tblPrEx>
          <w:tblCellMar>
            <w:top w:w="0" w:type="dxa"/>
            <w:left w:w="108" w:type="dxa"/>
            <w:bottom w:w="0" w:type="dxa"/>
            <w:right w:w="108" w:type="dxa"/>
          </w:tblCellMar>
        </w:tblPrEx>
        <w:trPr>
          <w:trHeight w:val="559" w:hRule="atLeast"/>
        </w:trPr>
        <w:tc>
          <w:tcPr>
            <w:tcW w:w="12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液氦</w:t>
            </w:r>
          </w:p>
        </w:tc>
        <w:tc>
          <w:tcPr>
            <w:tcW w:w="141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sz w:val="28"/>
                <w:szCs w:val="28"/>
                <w:lang w:val="en-US" w:eastAsia="zh-CN"/>
              </w:rPr>
              <w:t>250L</w:t>
            </w:r>
          </w:p>
        </w:tc>
        <w:tc>
          <w:tcPr>
            <w:tcW w:w="2307"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55000   </w:t>
            </w:r>
          </w:p>
        </w:tc>
      </w:tr>
    </w:tbl>
    <w:p>
      <w:pPr>
        <w:spacing w:line="240" w:lineRule="auto"/>
        <w:ind w:left="-2" w:leftChars="0" w:firstLine="0" w:firstLineChars="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sz w:val="24"/>
          <w:highlight w:val="none"/>
        </w:rPr>
        <w:t>签订合同后</w:t>
      </w:r>
      <w:r>
        <w:rPr>
          <w:rFonts w:hint="eastAsia"/>
          <w:sz w:val="24"/>
          <w:highlight w:val="none"/>
          <w:lang w:val="en-US" w:eastAsia="zh-CN"/>
        </w:rPr>
        <w:t>7</w:t>
      </w:r>
      <w:r>
        <w:rPr>
          <w:rFonts w:hint="eastAsia"/>
          <w:sz w:val="24"/>
          <w:highlight w:val="none"/>
        </w:rPr>
        <w:t>日内</w:t>
      </w:r>
      <w:r>
        <w:rPr>
          <w:rFonts w:hint="eastAsia" w:asciiTheme="minorEastAsia" w:hAnsiTheme="minorEastAsia" w:eastAsiaTheme="minorEastAsia" w:cstheme="minorEastAsia"/>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p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r>
        <w:rPr>
          <w:rFonts w:hint="eastAsia" w:ascii="宋体" w:hAnsi="宋体" w:cs="宋体"/>
          <w:color w:val="auto"/>
          <w:sz w:val="24"/>
          <w:szCs w:val="24"/>
          <w:highlight w:val="none"/>
          <w:lang w:val="en-US" w:eastAsia="zh-CN"/>
        </w:rPr>
        <w:t>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29</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中医药大楼二楼体检中心</w:t>
      </w:r>
      <w:r>
        <w:rPr>
          <w:rFonts w:hint="eastAsia" w:ascii="宋体" w:hAnsi="宋体" w:eastAsia="宋体" w:cs="宋体"/>
          <w:color w:val="auto"/>
          <w:sz w:val="24"/>
          <w:szCs w:val="24"/>
          <w:highlight w:val="none"/>
          <w:lang w:val="en-US" w:eastAsia="zh-CN"/>
        </w:rPr>
        <w:t>会议室</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个工作日。</w:t>
      </w:r>
    </w:p>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pPr>
        <w:pStyle w:val="15"/>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120" w:firstLineChars="50"/>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bCs/>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rPr>
      </w:pPr>
    </w:p>
    <w:p>
      <w:pPr>
        <w:pStyle w:val="8"/>
        <w:rPr>
          <w:rFonts w:hint="eastAsia" w:ascii="宋体" w:hAnsi="宋体" w:eastAsia="宋体" w:cs="宋体"/>
          <w:highlight w:val="none"/>
        </w:rPr>
      </w:pPr>
    </w:p>
    <w:p>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pPr>
        <w:pStyle w:val="3"/>
        <w:spacing w:before="0" w:after="0" w:line="440" w:lineRule="exact"/>
        <w:jc w:val="center"/>
        <w:rPr>
          <w:rFonts w:hint="eastAsia" w:ascii="宋体" w:hAnsi="宋体" w:eastAsia="宋体" w:cs="宋体"/>
          <w:color w:val="auto"/>
          <w:sz w:val="28"/>
          <w:szCs w:val="28"/>
          <w:highlight w:val="none"/>
        </w:rPr>
      </w:pPr>
      <w:bookmarkStart w:id="6" w:name="_Toc373342648"/>
      <w:bookmarkStart w:id="7" w:name="_Toc373401591"/>
      <w:bookmarkStart w:id="8" w:name="_Toc30736"/>
      <w:bookmarkStart w:id="9" w:name="_Toc373342697"/>
      <w:bookmarkStart w:id="10" w:name="_Toc287002504"/>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pPr>
              <w:keepNext w:val="0"/>
              <w:keepLines w:val="0"/>
              <w:widowControl/>
              <w:suppressLineNumbers w:val="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pPr>
        <w:pStyle w:val="3"/>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C00000"/>
          <w:sz w:val="24"/>
          <w:szCs w:val="24"/>
          <w:highlight w:val="none"/>
        </w:rPr>
        <w:t>按</w:t>
      </w:r>
      <w:r>
        <w:rPr>
          <w:rFonts w:hint="eastAsia" w:ascii="宋体" w:hAnsi="宋体" w:eastAsia="宋体" w:cs="宋体"/>
          <w:b/>
          <w:color w:val="C00000"/>
          <w:sz w:val="24"/>
          <w:szCs w:val="24"/>
          <w:highlight w:val="none"/>
          <w:lang w:val="en-GB"/>
        </w:rPr>
        <w:t>递交</w:t>
      </w:r>
      <w:r>
        <w:rPr>
          <w:rFonts w:hint="eastAsia" w:ascii="宋体" w:hAnsi="宋体" w:eastAsia="宋体" w:cs="宋体"/>
          <w:b/>
          <w:color w:val="C00000"/>
          <w:sz w:val="24"/>
          <w:szCs w:val="24"/>
          <w:highlight w:val="none"/>
        </w:rPr>
        <w:t>响应</w:t>
      </w:r>
      <w:r>
        <w:rPr>
          <w:rFonts w:hint="eastAsia" w:ascii="宋体" w:hAnsi="宋体" w:eastAsia="宋体" w:cs="宋体"/>
          <w:b/>
          <w:color w:val="C00000"/>
          <w:sz w:val="24"/>
          <w:szCs w:val="24"/>
          <w:highlight w:val="none"/>
          <w:lang w:val="en-GB"/>
        </w:rPr>
        <w:t>文件的顺序</w:t>
      </w:r>
      <w:r>
        <w:rPr>
          <w:rFonts w:hint="eastAsia" w:ascii="宋体" w:hAnsi="宋体" w:eastAsia="宋体" w:cs="宋体"/>
          <w:b/>
          <w:color w:val="C00000"/>
          <w:sz w:val="24"/>
          <w:szCs w:val="24"/>
          <w:highlight w:val="none"/>
        </w:rPr>
        <w:t>拆封并公开报价。</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pPr>
        <w:spacing w:line="360" w:lineRule="auto"/>
        <w:rPr>
          <w:rFonts w:hint="eastAsia" w:ascii="宋体" w:hAnsi="宋体" w:eastAsia="宋体" w:cs="宋体"/>
          <w:b/>
          <w:color w:val="auto"/>
          <w:sz w:val="24"/>
          <w:szCs w:val="24"/>
          <w:highlight w:val="none"/>
        </w:rPr>
      </w:pPr>
      <w:bookmarkStart w:id="27" w:name="_Toc463859525"/>
      <w:bookmarkStart w:id="28" w:name="_Toc286758340"/>
      <w:bookmarkStart w:id="29" w:name="_Toc376848254"/>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pPr>
        <w:jc w:val="both"/>
        <w:rPr>
          <w:rFonts w:hint="eastAsia" w:ascii="宋体" w:hAnsi="宋体" w:eastAsia="宋体" w:cs="宋体"/>
          <w:color w:val="auto"/>
          <w:sz w:val="24"/>
          <w:highlight w:val="none"/>
        </w:rPr>
      </w:pPr>
    </w:p>
    <w:p>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pPr>
        <w:jc w:val="center"/>
        <w:rPr>
          <w:rFonts w:hint="eastAsia" w:ascii="宋体" w:hAnsi="宋体" w:eastAsia="宋体" w:cs="宋体"/>
          <w:color w:val="auto"/>
          <w:sz w:val="24"/>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pPr>
        <w:pStyle w:val="2"/>
        <w:jc w:val="center"/>
        <w:rPr>
          <w:rFonts w:hint="eastAsia" w:ascii="宋体" w:hAnsi="宋体" w:eastAsia="宋体" w:cs="宋体"/>
          <w:b/>
          <w:bCs/>
          <w:color w:val="auto"/>
          <w:sz w:val="32"/>
          <w:highlight w:val="none"/>
        </w:rPr>
      </w:pPr>
      <w:bookmarkStart w:id="34" w:name="_Toc223948599"/>
      <w:bookmarkStart w:id="35" w:name="_Toc225565937"/>
      <w:bookmarkStart w:id="36" w:name="_Toc17340"/>
      <w:r>
        <w:rPr>
          <w:rFonts w:hint="eastAsia" w:ascii="宋体" w:hAnsi="宋体" w:eastAsia="宋体" w:cs="宋体"/>
          <w:b/>
          <w:bCs/>
          <w:color w:val="auto"/>
          <w:sz w:val="32"/>
          <w:highlight w:val="none"/>
        </w:rPr>
        <w:t>2. 报 价 表</w:t>
      </w:r>
      <w:bookmarkEnd w:id="34"/>
      <w:bookmarkEnd w:id="35"/>
      <w:bookmarkEnd w:id="36"/>
    </w:p>
    <w:p>
      <w:pPr>
        <w:spacing w:line="120" w:lineRule="auto"/>
        <w:rPr>
          <w:rFonts w:hint="eastAsia" w:ascii="宋体" w:hAnsi="宋体" w:eastAsia="宋体" w:cs="宋体"/>
          <w:color w:val="auto"/>
          <w:sz w:val="28"/>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pStyle w:val="3"/>
        <w:spacing w:before="0" w:after="0" w:line="460" w:lineRule="exact"/>
        <w:jc w:val="center"/>
        <w:rPr>
          <w:rFonts w:hint="eastAsia" w:ascii="宋体" w:hAnsi="宋体" w:eastAsia="宋体" w:cs="宋体"/>
          <w:color w:val="auto"/>
          <w:highlight w:val="none"/>
        </w:rPr>
      </w:pPr>
      <w:bookmarkStart w:id="37" w:name="_Toc225565940"/>
      <w:bookmarkStart w:id="38" w:name="_Toc223948602"/>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pStyle w:val="3"/>
        <w:spacing w:before="0" w:after="0" w:line="460" w:lineRule="exact"/>
        <w:jc w:val="center"/>
        <w:rPr>
          <w:rFonts w:hint="eastAsia" w:ascii="宋体" w:hAnsi="宋体" w:eastAsia="宋体" w:cs="宋体"/>
          <w:color w:val="auto"/>
          <w:highlight w:val="none"/>
        </w:rPr>
      </w:pPr>
    </w:p>
    <w:p>
      <w:pPr>
        <w:rPr>
          <w:rFonts w:hint="eastAsia" w:ascii="宋体" w:hAnsi="宋体" w:eastAsia="宋体" w:cs="宋体"/>
          <w:highlight w:val="none"/>
        </w:rPr>
      </w:pPr>
    </w:p>
    <w:p>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pPr>
        <w:pStyle w:val="3"/>
        <w:spacing w:before="0" w:after="0" w:line="460" w:lineRule="exact"/>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
        <w:rPr>
          <w:rFonts w:hint="eastAsia"/>
          <w:lang w:val="en-US" w:eastAsia="zh-CN"/>
        </w:rPr>
      </w:pPr>
    </w:p>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pPr>
              <w:spacing w:line="400" w:lineRule="exact"/>
              <w:rPr>
                <w:rFonts w:hint="eastAsia" w:ascii="宋体" w:hAnsi="宋体" w:eastAsia="宋体" w:cs="宋体"/>
                <w:color w:val="auto"/>
                <w:sz w:val="24"/>
                <w:highlight w:val="none"/>
              </w:rPr>
            </w:pPr>
          </w:p>
        </w:tc>
        <w:tc>
          <w:tcPr>
            <w:tcW w:w="2998" w:type="dxa"/>
          </w:tcPr>
          <w:p>
            <w:pPr>
              <w:spacing w:line="400" w:lineRule="exact"/>
              <w:rPr>
                <w:rFonts w:hint="eastAsia" w:ascii="宋体" w:hAnsi="宋体" w:eastAsia="宋体" w:cs="宋体"/>
                <w:color w:val="auto"/>
                <w:sz w:val="24"/>
                <w:highlight w:val="none"/>
              </w:rPr>
            </w:pPr>
          </w:p>
        </w:tc>
        <w:tc>
          <w:tcPr>
            <w:tcW w:w="2694" w:type="dxa"/>
          </w:tcPr>
          <w:p>
            <w:pPr>
              <w:spacing w:line="400" w:lineRule="exact"/>
              <w:rPr>
                <w:rFonts w:hint="eastAsia" w:ascii="宋体" w:hAnsi="宋体" w:eastAsia="宋体" w:cs="宋体"/>
                <w:color w:val="auto"/>
                <w:sz w:val="24"/>
                <w:highlight w:val="none"/>
              </w:rPr>
            </w:pPr>
          </w:p>
        </w:tc>
        <w:tc>
          <w:tcPr>
            <w:tcW w:w="1635" w:type="dxa"/>
          </w:tcPr>
          <w:p>
            <w:pPr>
              <w:spacing w:line="400" w:lineRule="exact"/>
              <w:rPr>
                <w:rFonts w:hint="eastAsia" w:ascii="宋体" w:hAnsi="宋体" w:eastAsia="宋体" w:cs="宋体"/>
                <w:color w:val="auto"/>
                <w:sz w:val="24"/>
                <w:highlight w:val="none"/>
              </w:rPr>
            </w:pPr>
          </w:p>
        </w:tc>
      </w:tr>
    </w:tbl>
    <w:p>
      <w:pPr>
        <w:spacing w:line="360" w:lineRule="exact"/>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23948603"/>
      <w:bookmarkStart w:id="41" w:name="_Toc21922"/>
      <w:bookmarkStart w:id="42" w:name="_Toc225565941"/>
      <w:bookmarkStart w:id="43" w:name="_Toc218852678"/>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pPr>
              <w:spacing w:line="400" w:lineRule="exact"/>
              <w:rPr>
                <w:rFonts w:hint="eastAsia" w:ascii="宋体" w:hAnsi="宋体" w:eastAsia="宋体" w:cs="宋体"/>
                <w:color w:val="auto"/>
                <w:sz w:val="24"/>
                <w:highlight w:val="none"/>
              </w:rPr>
            </w:pPr>
          </w:p>
        </w:tc>
        <w:tc>
          <w:tcPr>
            <w:tcW w:w="2840" w:type="dxa"/>
          </w:tcPr>
          <w:p>
            <w:pPr>
              <w:spacing w:line="400" w:lineRule="exact"/>
              <w:rPr>
                <w:rFonts w:hint="eastAsia" w:ascii="宋体" w:hAnsi="宋体" w:eastAsia="宋体" w:cs="宋体"/>
                <w:color w:val="auto"/>
                <w:sz w:val="24"/>
                <w:highlight w:val="none"/>
              </w:rPr>
            </w:pPr>
          </w:p>
        </w:tc>
        <w:tc>
          <w:tcPr>
            <w:tcW w:w="2886" w:type="dxa"/>
          </w:tcPr>
          <w:p>
            <w:pPr>
              <w:spacing w:line="400" w:lineRule="exact"/>
              <w:rPr>
                <w:rFonts w:hint="eastAsia" w:ascii="宋体" w:hAnsi="宋体" w:eastAsia="宋体" w:cs="宋体"/>
                <w:color w:val="auto"/>
                <w:sz w:val="24"/>
                <w:highlight w:val="none"/>
              </w:rPr>
            </w:pPr>
          </w:p>
        </w:tc>
        <w:tc>
          <w:tcPr>
            <w:tcW w:w="969" w:type="dxa"/>
          </w:tcPr>
          <w:p>
            <w:pPr>
              <w:spacing w:line="400" w:lineRule="exact"/>
              <w:rPr>
                <w:rFonts w:hint="eastAsia" w:ascii="宋体" w:hAnsi="宋体" w:eastAsia="宋体" w:cs="宋体"/>
                <w:color w:val="auto"/>
                <w:sz w:val="24"/>
                <w:highlight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pPr>
        <w:rPr>
          <w:rFonts w:hint="eastAsia" w:ascii="宋体" w:hAnsi="宋体" w:eastAsia="宋体" w:cs="宋体"/>
          <w:highlight w:val="none"/>
        </w:rPr>
      </w:pPr>
    </w:p>
    <w:p>
      <w:pPr>
        <w:rPr>
          <w:rFonts w:hint="eastAsia" w:ascii="宋体" w:hAnsi="宋体" w:eastAsia="宋体" w:cs="宋体"/>
          <w:color w:val="auto"/>
          <w:highlight w:val="none"/>
        </w:rPr>
      </w:pPr>
    </w:p>
    <w:bookmarkEnd w:id="44"/>
    <w:p>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pPr>
        <w:rPr>
          <w:rFonts w:hint="eastAsia" w:ascii="宋体" w:hAnsi="宋体" w:eastAsia="宋体" w:cs="宋体"/>
          <w:color w:val="auto"/>
          <w:highlight w:val="none"/>
        </w:rPr>
      </w:pPr>
    </w:p>
    <w:bookmarkEnd w:id="46"/>
    <w:bookmarkEnd w:id="47"/>
    <w:p>
      <w:pPr>
        <w:pStyle w:val="3"/>
        <w:spacing w:before="0" w:after="0" w:line="460" w:lineRule="exact"/>
        <w:jc w:val="center"/>
        <w:rPr>
          <w:rFonts w:hint="eastAsia" w:ascii="宋体" w:hAnsi="宋体" w:eastAsia="宋体" w:cs="宋体"/>
          <w:color w:val="auto"/>
          <w:highlight w:val="none"/>
        </w:rPr>
      </w:pPr>
      <w:bookmarkStart w:id="48" w:name="_Toc332035392"/>
      <w:bookmarkStart w:id="49" w:name="_Toc286760785"/>
      <w:bookmarkStart w:id="50" w:name="_Toc339545659"/>
      <w:bookmarkStart w:id="51" w:name="_Toc5805"/>
      <w:bookmarkStart w:id="52" w:name="_Toc225565943"/>
      <w:bookmarkStart w:id="53" w:name="_Toc218852684"/>
      <w:bookmarkStart w:id="54" w:name="_Toc22394860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pPr>
        <w:spacing w:line="432"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bookmarkStart w:id="55" w:name="_Toc372555473"/>
      <w:bookmarkStart w:id="56" w:name="_Toc330310743"/>
      <w:bookmarkStart w:id="57" w:name="_Toc330278770"/>
      <w:r>
        <w:rPr>
          <w:rFonts w:hint="eastAsia" w:ascii="宋体" w:hAnsi="宋体" w:eastAsia="宋体" w:cs="宋体"/>
          <w:color w:val="auto"/>
          <w:sz w:val="24"/>
          <w:highlight w:val="none"/>
        </w:rPr>
        <w:t>填写须知</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21373"/>
      <w:bookmarkStart w:id="59" w:name="_Toc8794"/>
      <w:bookmarkStart w:id="60" w:name="_Toc6577"/>
      <w:bookmarkStart w:id="61" w:name="_Toc13520"/>
      <w:bookmarkStart w:id="62" w:name="_Toc280799686"/>
      <w:bookmarkStart w:id="63" w:name="_Toc281296481"/>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9172"/>
      <w:bookmarkStart w:id="67" w:name="_Toc25981"/>
      <w:bookmarkStart w:id="68" w:name="_Toc151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21213"/>
      <w:bookmarkStart w:id="70" w:name="_Toc7835"/>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0264"/>
      <w:bookmarkStart w:id="74" w:name="_Toc19795"/>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pPr>
        <w:pStyle w:val="8"/>
        <w:rPr>
          <w:rFonts w:hint="eastAsia" w:ascii="宋体" w:hAnsi="宋体" w:eastAsia="宋体" w:cs="宋体"/>
          <w:highlight w:val="none"/>
        </w:rPr>
      </w:pPr>
    </w:p>
    <w:p>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pPr>
        <w:spacing w:line="432" w:lineRule="auto"/>
        <w:rPr>
          <w:rFonts w:hint="eastAsia" w:ascii="宋体" w:hAnsi="宋体" w:eastAsia="宋体" w:cs="宋体"/>
          <w:color w:val="auto"/>
          <w:sz w:val="24"/>
          <w:szCs w:val="24"/>
          <w:highlight w:val="none"/>
        </w:rPr>
      </w:pPr>
    </w:p>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tabs>
          <w:tab w:val="left" w:pos="1470"/>
        </w:tabs>
        <w:spacing w:line="432" w:lineRule="auto"/>
        <w:rPr>
          <w:rFonts w:hint="eastAsia" w:ascii="宋体" w:hAnsi="宋体" w:eastAsia="宋体" w:cs="宋体"/>
          <w:b/>
          <w:color w:val="auto"/>
          <w:sz w:val="24"/>
          <w:szCs w:val="24"/>
          <w:highlight w:val="none"/>
        </w:rPr>
      </w:pPr>
    </w:p>
    <w:p>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3"/>
        <w:jc w:val="center"/>
        <w:rPr>
          <w:rFonts w:hint="eastAsia" w:ascii="宋体" w:hAnsi="宋体" w:eastAsia="宋体" w:cs="宋体"/>
          <w:color w:val="auto"/>
          <w:sz w:val="24"/>
          <w:szCs w:val="24"/>
          <w:highlight w:val="none"/>
          <w:lang w:eastAsia="zh-CN"/>
        </w:rPr>
      </w:pPr>
      <w:bookmarkStart w:id="77" w:name="_Toc26670"/>
      <w:bookmarkStart w:id="78" w:name="_Toc1574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pPr>
        <w:pStyle w:val="8"/>
        <w:widowControl w:val="0"/>
        <w:numPr>
          <w:ilvl w:val="0"/>
          <w:numId w:val="0"/>
        </w:numPr>
        <w:spacing w:after="120"/>
        <w:jc w:val="both"/>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3"/>
        <w:jc w:val="center"/>
        <w:rPr>
          <w:rFonts w:hint="eastAsia" w:ascii="宋体" w:hAnsi="宋体" w:eastAsia="宋体" w:cs="宋体"/>
          <w:color w:val="auto"/>
          <w:sz w:val="24"/>
          <w:szCs w:val="24"/>
          <w:highlight w:val="none"/>
        </w:rPr>
      </w:pPr>
      <w:bookmarkStart w:id="79" w:name="_Toc19915"/>
      <w:bookmarkStart w:id="80" w:name="_Toc23541"/>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highlight w:val="none"/>
        </w:rPr>
      </w:pPr>
    </w:p>
    <w:p>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pPr>
        <w:spacing w:line="360" w:lineRule="auto"/>
        <w:rPr>
          <w:rFonts w:hint="eastAsia" w:ascii="宋体" w:hAnsi="宋体" w:eastAsia="宋体" w:cs="宋体"/>
          <w:color w:val="auto"/>
          <w:sz w:val="24"/>
          <w:szCs w:val="24"/>
          <w:highlight w:val="none"/>
        </w:rPr>
      </w:pPr>
    </w:p>
    <w:p>
      <w:pPr>
        <w:pStyle w:val="8"/>
        <w:spacing w:line="360" w:lineRule="auto"/>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p>
      <w:pPr>
        <w:pStyle w:val="8"/>
        <w:rPr>
          <w:rFonts w:hint="eastAsia" w:ascii="宋体" w:hAnsi="宋体" w:eastAsia="宋体" w:cs="宋体"/>
          <w:highlight w:val="none"/>
          <w:lang w:val="en-US" w:eastAsia="zh-CN"/>
        </w:rPr>
      </w:pPr>
    </w:p>
    <w:bookmarkEnd w:id="62"/>
    <w:bookmarkEnd w:id="63"/>
    <w:p>
      <w:pPr>
        <w:jc w:val="center"/>
        <w:rPr>
          <w:rFonts w:hint="eastAsia" w:ascii="宋体" w:hAnsi="宋体" w:eastAsia="宋体" w:cs="宋体"/>
          <w:b/>
          <w:color w:val="auto"/>
          <w:sz w:val="30"/>
          <w:szCs w:val="30"/>
          <w:highlight w:val="none"/>
        </w:rPr>
      </w:pPr>
      <w:bookmarkStart w:id="81" w:name="_Toc225565944"/>
      <w:bookmarkStart w:id="82" w:name="_Toc225565945"/>
    </w:p>
    <w:p>
      <w:pPr>
        <w:jc w:val="center"/>
        <w:rPr>
          <w:rFonts w:hint="eastAsia" w:ascii="宋体" w:hAnsi="宋体" w:eastAsia="宋体" w:cs="宋体"/>
          <w:b/>
          <w:color w:val="auto"/>
          <w:sz w:val="30"/>
          <w:szCs w:val="30"/>
          <w:highlight w:val="none"/>
        </w:rPr>
      </w:pPr>
    </w:p>
    <w:bookmarkEnd w:id="64"/>
    <w:bookmarkEnd w:id="65"/>
    <w:bookmarkEnd w:id="81"/>
    <w:bookmarkEnd w:id="82"/>
    <w:p>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pStyle w:val="3"/>
        <w:spacing w:before="0" w:after="0" w:line="44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5" w:name="_Toc18469"/>
      <w:r>
        <w:rPr>
          <w:rFonts w:hint="eastAsia" w:ascii="宋体" w:hAnsi="宋体" w:eastAsia="宋体" w:cs="宋体"/>
          <w:color w:val="auto"/>
          <w:sz w:val="28"/>
          <w:szCs w:val="28"/>
          <w:highlight w:val="none"/>
        </w:rPr>
        <w:t>二、采购要求</w:t>
      </w:r>
      <w:bookmarkEnd w:id="85"/>
    </w:p>
    <w:p>
      <w:pPr>
        <w:ind w:left="-2"/>
        <w:rPr>
          <w:rFonts w:hint="eastAsia" w:ascii="宋体" w:hAnsi="宋体" w:eastAsia="宋体" w:cs="宋体"/>
          <w:b/>
          <w:bCs/>
          <w:color w:val="auto"/>
          <w:sz w:val="24"/>
          <w:szCs w:val="24"/>
          <w:highlight w:val="none"/>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（一）技术需求：</w:t>
      </w:r>
    </w:p>
    <w:p>
      <w:pPr>
        <w:spacing w:line="360" w:lineRule="auto"/>
        <w:rPr>
          <w:rFonts w:hint="eastAsia"/>
          <w:sz w:val="24"/>
          <w:lang w:val="en-US" w:eastAsia="zh-CN"/>
        </w:rPr>
      </w:pPr>
    </w:p>
    <w:p>
      <w:pPr>
        <w:spacing w:line="360" w:lineRule="auto"/>
        <w:rPr>
          <w:rFonts w:hint="default"/>
          <w:sz w:val="24"/>
          <w:lang w:val="en-US" w:eastAsia="zh-CN"/>
        </w:rPr>
      </w:pPr>
      <w:r>
        <w:rPr>
          <w:rFonts w:hint="eastAsia"/>
          <w:sz w:val="24"/>
          <w:lang w:val="en-US" w:eastAsia="zh-CN"/>
        </w:rPr>
        <w:t>1.1、品名：液氦。</w:t>
      </w:r>
    </w:p>
    <w:p>
      <w:pPr>
        <w:spacing w:line="360" w:lineRule="auto"/>
        <w:rPr>
          <w:rFonts w:hint="default"/>
          <w:sz w:val="24"/>
          <w:lang w:val="en-US" w:eastAsia="zh-CN"/>
        </w:rPr>
      </w:pPr>
      <w:r>
        <w:rPr>
          <w:rFonts w:hint="eastAsia"/>
          <w:sz w:val="24"/>
          <w:lang w:val="en-US" w:eastAsia="zh-CN"/>
        </w:rPr>
        <w:t>1.2、用途：保证核磁共振磁体温度在绝对零度以下。</w:t>
      </w:r>
    </w:p>
    <w:p>
      <w:pPr>
        <w:spacing w:line="360" w:lineRule="auto"/>
        <w:rPr>
          <w:rFonts w:hint="default"/>
          <w:sz w:val="24"/>
          <w:lang w:val="en-US" w:eastAsia="zh-CN"/>
        </w:rPr>
      </w:pPr>
      <w:r>
        <w:rPr>
          <w:rFonts w:hint="eastAsia"/>
          <w:sz w:val="24"/>
          <w:lang w:val="en-US" w:eastAsia="zh-CN"/>
        </w:rPr>
        <w:t>1.3、规格：升。</w:t>
      </w:r>
    </w:p>
    <w:p>
      <w:pPr>
        <w:spacing w:line="360" w:lineRule="auto"/>
        <w:rPr>
          <w:rFonts w:hint="default"/>
          <w:sz w:val="24"/>
          <w:lang w:val="en-US" w:eastAsia="zh-CN"/>
        </w:rPr>
      </w:pPr>
      <w:r>
        <w:rPr>
          <w:rFonts w:hint="eastAsia"/>
          <w:sz w:val="24"/>
          <w:lang w:val="en-US" w:eastAsia="zh-CN"/>
        </w:rPr>
        <w:t>1.4、容器：杜瓦罐。</w:t>
      </w:r>
    </w:p>
    <w:p>
      <w:pPr>
        <w:spacing w:line="360" w:lineRule="auto"/>
        <w:rPr>
          <w:rFonts w:hint="eastAsia"/>
          <w:sz w:val="24"/>
          <w:lang w:val="en-US" w:eastAsia="zh-CN"/>
        </w:rPr>
      </w:pPr>
      <w:r>
        <w:rPr>
          <w:rFonts w:hint="eastAsia"/>
          <w:sz w:val="24"/>
          <w:lang w:val="en-US" w:eastAsia="zh-CN"/>
        </w:rPr>
        <w:t>1.5、要求：液氦纯度≥99.999%，提供罐氦气，满足设备正常运行。</w:t>
      </w:r>
    </w:p>
    <w:p>
      <w:pPr>
        <w:spacing w:line="360" w:lineRule="auto"/>
        <w:rPr>
          <w:rFonts w:hint="default"/>
          <w:sz w:val="24"/>
          <w:lang w:val="en-US" w:eastAsia="zh-CN"/>
        </w:rPr>
      </w:pPr>
      <w:r>
        <w:rPr>
          <w:rFonts w:hint="eastAsia"/>
          <w:sz w:val="24"/>
          <w:lang w:val="en-US" w:eastAsia="zh-CN"/>
        </w:rPr>
        <w:t>1.6、服务：须有磁共振维修专职工程师在现场。</w:t>
      </w:r>
    </w:p>
    <w:p>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ind w:left="-2"/>
        <w:rPr>
          <w:rFonts w:hint="eastAsia" w:ascii="宋体" w:hAnsi="宋体" w:eastAsia="宋体" w:cs="宋体"/>
          <w:b/>
          <w:bCs/>
          <w:color w:val="auto"/>
          <w:sz w:val="24"/>
          <w:szCs w:val="24"/>
          <w:highlight w:val="none"/>
          <w:lang w:val="en-US" w:eastAsia="zh-CN"/>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pPr>
        <w:spacing w:line="360" w:lineRule="auto"/>
        <w:rPr>
          <w:rFonts w:hint="eastAsia"/>
          <w:sz w:val="24"/>
          <w:highlight w:val="none"/>
        </w:rPr>
      </w:pPr>
      <w:r>
        <w:rPr>
          <w:rFonts w:hint="eastAsia"/>
          <w:b/>
          <w:bCs w:val="0"/>
          <w:sz w:val="24"/>
          <w:highlight w:val="none"/>
        </w:rPr>
        <w:t>1、付款方式：</w:t>
      </w:r>
      <w:r>
        <w:rPr>
          <w:rFonts w:hint="eastAsia"/>
          <w:sz w:val="24"/>
          <w:highlight w:val="none"/>
        </w:rPr>
        <w:t>加装液氦完毕后，在</w:t>
      </w:r>
      <w:r>
        <w:rPr>
          <w:rFonts w:hint="eastAsia"/>
          <w:sz w:val="24"/>
          <w:highlight w:val="none"/>
          <w:lang w:val="en-US" w:eastAsia="zh-CN"/>
        </w:rPr>
        <w:t>30</w:t>
      </w:r>
      <w:r>
        <w:rPr>
          <w:rFonts w:hint="eastAsia"/>
          <w:sz w:val="24"/>
          <w:highlight w:val="none"/>
        </w:rPr>
        <w:t>个工作日内一次性付清全款。</w:t>
      </w:r>
    </w:p>
    <w:p>
      <w:pPr>
        <w:spacing w:line="360" w:lineRule="auto"/>
        <w:rPr>
          <w:rFonts w:hint="eastAsia"/>
          <w:b/>
          <w:bCs/>
          <w:sz w:val="24"/>
        </w:rPr>
      </w:pPr>
      <w:r>
        <w:rPr>
          <w:rFonts w:hint="eastAsia"/>
          <w:b/>
          <w:bCs/>
          <w:sz w:val="24"/>
        </w:rPr>
        <w:t>2、售后服务：</w:t>
      </w:r>
    </w:p>
    <w:p>
      <w:pPr>
        <w:spacing w:line="360" w:lineRule="auto"/>
        <w:rPr>
          <w:rFonts w:hint="eastAsia"/>
          <w:sz w:val="24"/>
          <w:highlight w:val="none"/>
          <w:lang w:val="en-US" w:eastAsia="zh-CN"/>
        </w:rPr>
      </w:pPr>
      <w:r>
        <w:rPr>
          <w:rFonts w:hint="eastAsia"/>
          <w:sz w:val="24"/>
          <w:highlight w:val="none"/>
          <w:lang w:val="en-US" w:eastAsia="zh-CN"/>
        </w:rPr>
        <w:t>2.1、质量保证期：本项目中标合同项下所有货物自验收合格之日起</w:t>
      </w:r>
      <w:r>
        <w:rPr>
          <w:rFonts w:hint="eastAsia"/>
          <w:sz w:val="24"/>
          <w:highlight w:val="none"/>
          <w:u w:val="single"/>
          <w:lang w:val="en-US" w:eastAsia="zh-CN"/>
        </w:rPr>
        <w:t xml:space="preserve">  1 </w:t>
      </w:r>
      <w:r>
        <w:rPr>
          <w:rFonts w:hint="eastAsia"/>
          <w:sz w:val="24"/>
          <w:highlight w:val="none"/>
          <w:lang w:val="en-US" w:eastAsia="zh-CN"/>
        </w:rPr>
        <w:t>个月。</w:t>
      </w:r>
    </w:p>
    <w:p>
      <w:pPr>
        <w:spacing w:line="360" w:lineRule="auto"/>
        <w:rPr>
          <w:rFonts w:hint="eastAsia"/>
          <w:sz w:val="24"/>
          <w:lang w:val="en-US" w:eastAsia="zh-CN"/>
        </w:rPr>
      </w:pPr>
      <w:r>
        <w:rPr>
          <w:rFonts w:hint="eastAsia"/>
          <w:sz w:val="24"/>
          <w:lang w:val="en-US" w:eastAsia="zh-CN"/>
        </w:rPr>
        <w:t>2.2、在质量保证期内设备运行发生故障，中标单位免费提供咨询、维修、或整机更换服务。确保接到采购单位维修请求后，在1 小时之内电话响应，若运用通讯工具不能解决问题，必须按约定时间内，到达现场并在24小时内予以解决。</w:t>
      </w:r>
    </w:p>
    <w:p>
      <w:pPr>
        <w:spacing w:line="360" w:lineRule="auto"/>
        <w:rPr>
          <w:rFonts w:hint="eastAsia"/>
          <w:sz w:val="24"/>
        </w:rPr>
      </w:pPr>
      <w:r>
        <w:rPr>
          <w:rFonts w:hint="eastAsia"/>
          <w:sz w:val="24"/>
          <w:lang w:val="en-US" w:eastAsia="zh-CN"/>
        </w:rPr>
        <w:t>2.3、质量保证期内中标供应商应对由于设计、工艺或材料</w:t>
      </w:r>
      <w:r>
        <w:rPr>
          <w:rFonts w:hint="eastAsia"/>
          <w:sz w:val="24"/>
        </w:rPr>
        <w:t>的缺陷而发生的任何不足和故障负责任。在质量保证期内，如果产品发生故障，中标供应商要调查故障原因并免费修复直至满足产品性能及服务的要求，或者更换整体或部分有缺陷的组件和材料。</w:t>
      </w:r>
    </w:p>
    <w:p>
      <w:pPr>
        <w:spacing w:line="360" w:lineRule="auto"/>
        <w:rPr>
          <w:rFonts w:hint="eastAsia"/>
          <w:sz w:val="24"/>
        </w:rPr>
      </w:pPr>
      <w:r>
        <w:rPr>
          <w:rFonts w:hint="eastAsia"/>
          <w:b/>
          <w:bCs/>
          <w:sz w:val="24"/>
        </w:rPr>
        <w:t xml:space="preserve">3、交货地点: </w:t>
      </w:r>
      <w:r>
        <w:rPr>
          <w:rFonts w:hint="eastAsia"/>
          <w:b/>
          <w:bCs/>
          <w:sz w:val="24"/>
          <w:lang w:val="en-US" w:eastAsia="zh-CN"/>
        </w:rPr>
        <w:t xml:space="preserve"> 上饶市广丰区中医院院内</w:t>
      </w:r>
      <w:r>
        <w:rPr>
          <w:rFonts w:hint="eastAsia"/>
          <w:sz w:val="24"/>
        </w:rPr>
        <w:t>。</w:t>
      </w:r>
    </w:p>
    <w:p>
      <w:pPr>
        <w:spacing w:line="360" w:lineRule="auto"/>
        <w:rPr>
          <w:rFonts w:hint="eastAsia"/>
          <w:sz w:val="24"/>
          <w:highlight w:val="none"/>
        </w:rPr>
      </w:pPr>
      <w:r>
        <w:rPr>
          <w:rFonts w:hint="eastAsia"/>
          <w:b/>
          <w:bCs/>
          <w:sz w:val="24"/>
          <w:highlight w:val="none"/>
        </w:rPr>
        <w:t xml:space="preserve">4、交货时间:  </w:t>
      </w:r>
      <w:r>
        <w:rPr>
          <w:rFonts w:hint="eastAsia"/>
          <w:sz w:val="24"/>
          <w:highlight w:val="none"/>
        </w:rPr>
        <w:t>签订合同后</w:t>
      </w:r>
      <w:r>
        <w:rPr>
          <w:rFonts w:hint="eastAsia"/>
          <w:sz w:val="24"/>
          <w:highlight w:val="none"/>
          <w:lang w:val="en-US" w:eastAsia="zh-CN"/>
        </w:rPr>
        <w:t>7</w:t>
      </w:r>
      <w:r>
        <w:rPr>
          <w:rFonts w:hint="eastAsia"/>
          <w:sz w:val="24"/>
          <w:highlight w:val="none"/>
        </w:rPr>
        <w:t>日内。</w:t>
      </w:r>
      <w:bookmarkStart w:id="86" w:name="_GoBack"/>
      <w:bookmarkEnd w:id="86"/>
    </w:p>
    <w:p>
      <w:pPr>
        <w:spacing w:line="360" w:lineRule="auto"/>
        <w:rPr>
          <w:rFonts w:hint="eastAsia"/>
          <w:sz w:val="24"/>
        </w:rPr>
      </w:pPr>
      <w:r>
        <w:rPr>
          <w:rFonts w:hint="eastAsia"/>
          <w:b/>
          <w:bCs/>
          <w:sz w:val="24"/>
        </w:rPr>
        <w:t>5、交货包装</w:t>
      </w:r>
      <w:r>
        <w:rPr>
          <w:rFonts w:hint="eastAsia"/>
          <w:sz w:val="24"/>
        </w:rPr>
        <w:t>：</w:t>
      </w:r>
    </w:p>
    <w:p>
      <w:pPr>
        <w:spacing w:line="360" w:lineRule="auto"/>
        <w:rPr>
          <w:rFonts w:hint="eastAsia"/>
          <w:sz w:val="24"/>
          <w:lang w:val="zh-CN"/>
        </w:rPr>
      </w:pPr>
      <w:r>
        <w:rPr>
          <w:rFonts w:hint="eastAsia"/>
          <w:sz w:val="24"/>
        </w:rPr>
        <w:t>5.1、投标人提供的全部货物均应按标准保护措施进行包装，这类包装应适应于远距离运输、防潮、防震、防锈和防野蛮装卸，以确保货物安全无损运抵指定现场。由于包装不善所引起的货物锈蚀、损坏和损失均由投标人负责。</w:t>
      </w:r>
    </w:p>
    <w:p>
      <w:pPr>
        <w:spacing w:line="360" w:lineRule="auto"/>
        <w:rPr>
          <w:rFonts w:hint="eastAsia"/>
          <w:sz w:val="24"/>
        </w:rPr>
      </w:pPr>
      <w:r>
        <w:rPr>
          <w:rFonts w:hint="eastAsia"/>
          <w:sz w:val="24"/>
        </w:rPr>
        <w:t>5.2、投标人交货时，须提供设备的全部资料，如产品合格证、装箱单、使用说明书、易损件清单、备品备件清单、出厂检验报告、质量保证书、产品现行完好标准、标准操作规程、维护保养规程等等。</w:t>
      </w:r>
    </w:p>
    <w:p>
      <w:pPr>
        <w:spacing w:line="360" w:lineRule="auto"/>
        <w:rPr>
          <w:rFonts w:hint="eastAsia"/>
          <w:sz w:val="24"/>
        </w:rPr>
      </w:pPr>
      <w:r>
        <w:rPr>
          <w:rFonts w:hint="eastAsia"/>
          <w:sz w:val="24"/>
        </w:rPr>
        <w:t>5.3、投标人提供的全部货物所有附件必须都配备齐全，所供货设备外包箱注明用户信息，原厂设备完整，不得折封，以上参数如有不符直接退货。</w:t>
      </w:r>
    </w:p>
    <w:p>
      <w:pPr>
        <w:spacing w:line="360" w:lineRule="auto"/>
        <w:rPr>
          <w:rFonts w:hint="eastAsia"/>
          <w:sz w:val="24"/>
        </w:rPr>
      </w:pPr>
      <w:r>
        <w:rPr>
          <w:rFonts w:hint="eastAsia"/>
          <w:sz w:val="24"/>
        </w:rPr>
        <w:t>5.4、如果投标人没有按照合同规定或采购人同意延长的时间交货，每延期五天，按合同总金额的1%交付违约金；如果投标人在达到最高限额（合同总额5%）后仍不能交付的，采购人可终止合同，因此产生的一切经济损失由投标人承担；因质量问题延期交付设备时，按延期交付产品处理。</w:t>
      </w:r>
    </w:p>
    <w:p>
      <w:pPr>
        <w:spacing w:line="360" w:lineRule="auto"/>
        <w:rPr>
          <w:rFonts w:hint="eastAsia"/>
          <w:b/>
          <w:bCs/>
          <w:sz w:val="24"/>
          <w:lang w:val="zh-CN"/>
        </w:rPr>
      </w:pPr>
      <w:r>
        <w:rPr>
          <w:rFonts w:hint="eastAsia"/>
          <w:b/>
          <w:bCs/>
          <w:sz w:val="24"/>
          <w:lang w:val="zh-CN"/>
        </w:rPr>
        <w:t>6、安装、验收:</w:t>
      </w:r>
    </w:p>
    <w:p>
      <w:pPr>
        <w:spacing w:line="360" w:lineRule="auto"/>
        <w:rPr>
          <w:rFonts w:hint="eastAsia"/>
          <w:sz w:val="24"/>
        </w:rPr>
      </w:pPr>
      <w:r>
        <w:rPr>
          <w:rFonts w:hint="eastAsia"/>
          <w:sz w:val="24"/>
        </w:rPr>
        <w:t>6.1、投标人在交货及安装截止时间（或采购方规定的时间）内交货、安装，有关运输和保险的一切费用由投标人承担。所有货物运抵现场并安装、调试、验收合格后的日期为交货日期。</w:t>
      </w:r>
    </w:p>
    <w:p>
      <w:pPr>
        <w:spacing w:line="360" w:lineRule="auto"/>
        <w:rPr>
          <w:rFonts w:hint="eastAsia"/>
          <w:sz w:val="24"/>
        </w:rPr>
      </w:pPr>
      <w:r>
        <w:rPr>
          <w:rFonts w:hint="eastAsia"/>
          <w:sz w:val="24"/>
        </w:rPr>
        <w:t>6.2、货物到现场后，采购人（或其授权代表）、投标人组织相关人员共同对到货货物的数量、外观、包装质量、技术资料等进行检查，经用户确认后开始安装、调试；</w:t>
      </w:r>
    </w:p>
    <w:p>
      <w:pPr>
        <w:spacing w:line="360" w:lineRule="auto"/>
        <w:rPr>
          <w:rFonts w:hint="eastAsia"/>
          <w:sz w:val="24"/>
        </w:rPr>
      </w:pPr>
      <w:r>
        <w:rPr>
          <w:rFonts w:hint="eastAsia"/>
          <w:sz w:val="24"/>
        </w:rPr>
        <w:t>6.3、设备到达现场中标单位安装，并在规定时间内按合同及招标文件的技术参数进行调试。在设备正常运行并提供使用前的技术及操作培训后提交直接用户签字确认合格的设备调试报告，采购人接到调试报告并确认后，二十个工作日内组织有关专家按合同文件进行验收。</w:t>
      </w:r>
    </w:p>
    <w:p>
      <w:pPr>
        <w:spacing w:line="360" w:lineRule="auto"/>
        <w:rPr>
          <w:rFonts w:hint="eastAsia"/>
          <w:sz w:val="24"/>
        </w:rPr>
      </w:pPr>
      <w:r>
        <w:rPr>
          <w:rFonts w:hint="eastAsia"/>
          <w:sz w:val="24"/>
        </w:rPr>
        <w:t>6.4、交付验收标准：依次序对照适用标准为：</w:t>
      </w:r>
    </w:p>
    <w:p>
      <w:pPr>
        <w:spacing w:line="360" w:lineRule="auto"/>
        <w:rPr>
          <w:rFonts w:hint="eastAsia"/>
          <w:sz w:val="24"/>
        </w:rPr>
      </w:pPr>
      <w:r>
        <w:rPr>
          <w:rFonts w:hint="eastAsia"/>
          <w:sz w:val="24"/>
        </w:rPr>
        <w:t>6.4.1、符合中华人民共和国国家安全质量标准、环保标准或行业标准；</w:t>
      </w:r>
    </w:p>
    <w:p>
      <w:pPr>
        <w:spacing w:line="360" w:lineRule="auto"/>
        <w:rPr>
          <w:rFonts w:hint="eastAsia"/>
          <w:sz w:val="24"/>
        </w:rPr>
      </w:pPr>
      <w:r>
        <w:rPr>
          <w:rFonts w:hint="eastAsia"/>
          <w:sz w:val="24"/>
        </w:rPr>
        <w:t>6.4.2、符合招标文件和投标承诺中采购人认可的合理最佳配置、参数及各项要求；</w:t>
      </w:r>
    </w:p>
    <w:p>
      <w:pPr>
        <w:spacing w:line="360" w:lineRule="auto"/>
        <w:rPr>
          <w:rFonts w:hint="eastAsia"/>
          <w:sz w:val="24"/>
        </w:rPr>
      </w:pPr>
      <w:r>
        <w:rPr>
          <w:rFonts w:hint="eastAsia"/>
          <w:sz w:val="24"/>
        </w:rPr>
        <w:t>6.4.3、货物来源国官方标准。</w:t>
      </w:r>
    </w:p>
    <w:p>
      <w:pPr>
        <w:spacing w:line="360" w:lineRule="auto"/>
        <w:rPr>
          <w:rFonts w:hint="eastAsia"/>
          <w:sz w:val="24"/>
        </w:rPr>
      </w:pPr>
      <w:r>
        <w:rPr>
          <w:rFonts w:hint="eastAsia"/>
          <w:sz w:val="24"/>
        </w:rPr>
        <w:t>6.4.4、上述标准必须是有关官方机构发布的最新版本的标准；</w:t>
      </w:r>
    </w:p>
    <w:p>
      <w:pPr>
        <w:spacing w:line="360" w:lineRule="auto"/>
        <w:rPr>
          <w:rFonts w:hint="eastAsia"/>
          <w:sz w:val="24"/>
        </w:rPr>
      </w:pPr>
      <w:r>
        <w:rPr>
          <w:rFonts w:hint="eastAsia"/>
          <w:sz w:val="24"/>
        </w:rPr>
        <w:t>6.5、投标人须为验收提供必需的设备、工具及其他便利条件；</w:t>
      </w:r>
    </w:p>
    <w:p>
      <w:pPr>
        <w:spacing w:line="360" w:lineRule="auto"/>
        <w:rPr>
          <w:rFonts w:hint="eastAsia"/>
          <w:sz w:val="24"/>
        </w:rPr>
      </w:pPr>
      <w:r>
        <w:rPr>
          <w:rFonts w:hint="eastAsia"/>
          <w:sz w:val="24"/>
        </w:rPr>
        <w:t>6.6、在验收过程中发现数量不足或有质量、技术等问题，投标人应负责按照采购人的要求采取补足、更换或退货等措施妥善处理，并承担由此发生的一切费用和损失；</w:t>
      </w:r>
    </w:p>
    <w:p>
      <w:pPr>
        <w:spacing w:line="360" w:lineRule="auto"/>
        <w:rPr>
          <w:rFonts w:hint="eastAsia"/>
          <w:sz w:val="24"/>
        </w:rPr>
      </w:pPr>
      <w:r>
        <w:rPr>
          <w:rFonts w:hint="eastAsia"/>
          <w:sz w:val="24"/>
        </w:rPr>
        <w:t>6.7、对于不合格的货物，投标人必须在7个工作日里及时完成更换并重新对更换货物进行验收。</w:t>
      </w:r>
    </w:p>
    <w:p>
      <w:pPr>
        <w:spacing w:line="360" w:lineRule="auto"/>
        <w:rPr>
          <w:rFonts w:hint="eastAsia"/>
          <w:sz w:val="24"/>
        </w:rPr>
      </w:pPr>
      <w:r>
        <w:rPr>
          <w:rFonts w:hint="eastAsia"/>
          <w:b/>
          <w:bCs/>
          <w:sz w:val="24"/>
        </w:rPr>
        <w:t>7、培训要求：</w:t>
      </w:r>
      <w:r>
        <w:rPr>
          <w:rFonts w:hint="eastAsia"/>
          <w:sz w:val="24"/>
        </w:rPr>
        <w:t>中标人派专业技术人员到采购方指定的地点对采购方的操作人员提供培训、维护（修）人员讲课及实践培训，直到采购方的操作人员完全掌握设备的使用为止；免费提供对采购方操作人员及设备维修人员培训，进行日常运行维护的现场培训，使采购方的技术人员能熟练独立工作。</w:t>
      </w:r>
    </w:p>
    <w:p>
      <w:pPr>
        <w:spacing w:line="360" w:lineRule="auto"/>
        <w:rPr>
          <w:rFonts w:ascii="宋体" w:hAnsi="宋体" w:cs="宋体"/>
          <w:b/>
          <w:i/>
          <w:sz w:val="24"/>
          <w:szCs w:val="24"/>
        </w:rPr>
      </w:pPr>
      <w:r>
        <w:rPr>
          <w:rFonts w:hint="eastAsia"/>
          <w:b/>
          <w:bCs/>
          <w:sz w:val="24"/>
        </w:rPr>
        <w:t>8、其他：</w:t>
      </w:r>
      <w:r>
        <w:rPr>
          <w:rFonts w:hint="eastAsia"/>
          <w:sz w:val="24"/>
        </w:rPr>
        <w:t>中标人应保证采购人在中华人民共和国使用中标人所提供的货物或货物的任何一部分时，免受第三方提出的侵犯其专利权、商标权的起诉；如果任何第三方提出侵权指控，中标人承担一切与之有关的责任。</w:t>
      </w:r>
    </w:p>
    <w:p>
      <w:pPr>
        <w:spacing w:line="240" w:lineRule="auto"/>
        <w:rPr>
          <w:rFonts w:hint="eastAsia" w:ascii="宋体" w:hAnsi="宋体" w:eastAsia="宋体" w:cs="宋体"/>
          <w:sz w:val="24"/>
          <w:szCs w:val="24"/>
          <w:highlight w:val="none"/>
          <w:lang w:val="en-US" w:eastAsia="zh-CN"/>
        </w:rPr>
      </w:pPr>
    </w:p>
    <w:p>
      <w:pPr>
        <w:spacing w:line="240" w:lineRule="auto"/>
        <w:ind w:left="-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WU2NzI5MTcxNzRlYjZhMTIzNDYyZjFkNzg2OGEifQ=="/>
  </w:docVars>
  <w:rsids>
    <w:rsidRoot w:val="00000000"/>
    <w:rsid w:val="2D102298"/>
    <w:rsid w:val="3F0B0972"/>
    <w:rsid w:val="4B0E52E0"/>
    <w:rsid w:val="4EEE3CD3"/>
    <w:rsid w:val="5A0E0BA1"/>
    <w:rsid w:val="5BFC1093"/>
    <w:rsid w:val="73511A96"/>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autoRedefine/>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autoRedefine/>
    <w:qFormat/>
    <w:uiPriority w:val="0"/>
    <w:rPr>
      <w:sz w:val="28"/>
    </w:rPr>
  </w:style>
  <w:style w:type="paragraph" w:styleId="15">
    <w:name w:val="Body Text Indent 2"/>
    <w:basedOn w:val="1"/>
    <w:link w:val="34"/>
    <w:autoRedefine/>
    <w:qFormat/>
    <w:uiPriority w:val="0"/>
    <w:pPr>
      <w:spacing w:after="120" w:line="480" w:lineRule="auto"/>
      <w:ind w:left="420" w:leftChars="200"/>
    </w:p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autoRedefine/>
    <w:semiHidden/>
    <w:qFormat/>
    <w:uiPriority w:val="0"/>
    <w:pPr>
      <w:ind w:left="630"/>
      <w:jc w:val="left"/>
    </w:pPr>
    <w:rPr>
      <w:sz w:val="18"/>
      <w:szCs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qFormat/>
    <w:uiPriority w:val="39"/>
    <w:pPr>
      <w:tabs>
        <w:tab w:val="right" w:leader="hyphen" w:pos="9639"/>
      </w:tabs>
      <w:spacing w:line="320" w:lineRule="exact"/>
      <w:ind w:left="210"/>
      <w:jc w:val="left"/>
    </w:pPr>
    <w:rPr>
      <w:smallCaps/>
      <w:sz w:val="20"/>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autoRedefine/>
    <w:qFormat/>
    <w:uiPriority w:val="0"/>
    <w:pPr>
      <w:ind w:firstLine="100" w:firstLineChars="100"/>
    </w:pPr>
    <w:rPr>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basedOn w:val="28"/>
    <w:autoRedefine/>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autoRedefine/>
    <w:qFormat/>
    <w:uiPriority w:val="0"/>
    <w:rPr>
      <w:rFonts w:ascii="FangSong_GB2312" w:eastAsia="FangSong_GB2312"/>
      <w:b/>
      <w:sz w:val="32"/>
      <w:szCs w:val="32"/>
    </w:rPr>
  </w:style>
  <w:style w:type="character" w:customStyle="1" w:styleId="34">
    <w:name w:val="正文文本缩进 2 Char"/>
    <w:basedOn w:val="28"/>
    <w:link w:val="15"/>
    <w:autoRedefine/>
    <w:qFormat/>
    <w:uiPriority w:val="0"/>
    <w:rPr>
      <w:kern w:val="2"/>
      <w:sz w:val="21"/>
    </w:rPr>
  </w:style>
  <w:style w:type="character" w:customStyle="1" w:styleId="35">
    <w:name w:val="日期 Char"/>
    <w:basedOn w:val="28"/>
    <w:link w:val="14"/>
    <w:autoRedefine/>
    <w:qFormat/>
    <w:uiPriority w:val="0"/>
    <w:rPr>
      <w:kern w:val="2"/>
      <w:sz w:val="28"/>
    </w:rPr>
  </w:style>
  <w:style w:type="paragraph" w:customStyle="1" w:styleId="36">
    <w:name w:val="List Paragraph"/>
    <w:basedOn w:val="1"/>
    <w:autoRedefine/>
    <w:qFormat/>
    <w:uiPriority w:val="34"/>
    <w:pPr>
      <w:ind w:firstLine="420" w:firstLineChars="200"/>
    </w:pPr>
    <w:rPr>
      <w:szCs w:val="24"/>
    </w:rPr>
  </w:style>
  <w:style w:type="character" w:customStyle="1" w:styleId="37">
    <w:name w:val="标题 1 Char"/>
    <w:link w:val="2"/>
    <w:autoRedefine/>
    <w:qFormat/>
    <w:uiPriority w:val="0"/>
    <w:rPr>
      <w:rFonts w:ascii="宋体"/>
      <w:kern w:val="2"/>
      <w:sz w:val="28"/>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autoRedefine/>
    <w:qFormat/>
    <w:uiPriority w:val="0"/>
    <w:pPr>
      <w:spacing w:after="80" w:line="276" w:lineRule="auto"/>
    </w:pPr>
    <w:rPr>
      <w:rFonts w:ascii="宋体" w:hAnsi="宋体" w:cs="宋体"/>
      <w:lang w:val="zh-TW" w:eastAsia="zh-TW" w:bidi="zh-TW"/>
    </w:rPr>
  </w:style>
  <w:style w:type="paragraph" w:customStyle="1" w:styleId="40">
    <w:name w:val="Body text|2"/>
    <w:basedOn w:val="1"/>
    <w:autoRedefine/>
    <w:qFormat/>
    <w:uiPriority w:val="0"/>
    <w:pPr>
      <w:spacing w:after="80" w:line="328" w:lineRule="exact"/>
    </w:pPr>
    <w:rPr>
      <w:sz w:val="22"/>
      <w:szCs w:val="22"/>
      <w:lang w:val="zh-TW" w:eastAsia="zh-TW" w:bidi="zh-TW"/>
    </w:rPr>
  </w:style>
  <w:style w:type="paragraph" w:customStyle="1" w:styleId="41">
    <w:name w:val="case3"/>
    <w:basedOn w:val="1"/>
    <w:autoRedefine/>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autoRedefine/>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autoRedefine/>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autoRedefine/>
    <w:qFormat/>
    <w:uiPriority w:val="0"/>
    <w:rPr>
      <w:rFonts w:ascii="PMingLiU" w:hAnsi="PMingLiU" w:eastAsia="PMingLiU" w:cs="PMingLiU"/>
      <w:sz w:val="32"/>
      <w:szCs w:val="32"/>
      <w:u w:val="none"/>
    </w:rPr>
  </w:style>
  <w:style w:type="paragraph" w:customStyle="1" w:styleId="46">
    <w:name w:val="Body text|21"/>
    <w:basedOn w:val="1"/>
    <w:link w:val="47"/>
    <w:autoRedefine/>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autoRedefine/>
    <w:qFormat/>
    <w:uiPriority w:val="0"/>
    <w:rPr>
      <w:rFonts w:ascii="PMingLiU" w:hAnsi="PMingLiU" w:eastAsia="PMingLiU" w:cs="PMingLiU"/>
      <w:sz w:val="18"/>
      <w:szCs w:val="18"/>
      <w:u w:val="none"/>
    </w:rPr>
  </w:style>
  <w:style w:type="character" w:customStyle="1" w:styleId="48">
    <w:name w:val="Body text|2 + Arial"/>
    <w:basedOn w:val="47"/>
    <w:autoRedefine/>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22</Pages>
  <Words>7556</Words>
  <Characters>7796</Characters>
  <Lines>48</Lines>
  <Paragraphs>53</Paragraphs>
  <TotalTime>16</TotalTime>
  <ScaleCrop>false</ScaleCrop>
  <LinksUpToDate>false</LinksUpToDate>
  <CharactersWithSpaces>8626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Administrator</cp:lastModifiedBy>
  <cp:lastPrinted>2023-01-11T18:33:00Z</cp:lastPrinted>
  <dcterms:modified xsi:type="dcterms:W3CDTF">2024-01-27T14:15:03Z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E0F9D89764EE4A7C8FB92AAB799140C4_13</vt:lpwstr>
  </property>
</Properties>
</file>