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540"/>
        <w:rPr>
          <w:rFonts w:hint="eastAsia" w:ascii="宋体" w:hAnsi="宋体" w:eastAsia="宋体" w:cs="宋体"/>
          <w:color w:val="auto"/>
          <w:sz w:val="72"/>
          <w:highlight w:val="none"/>
        </w:rPr>
      </w:pPr>
    </w:p>
    <w:p>
      <w:pPr>
        <w:ind w:firstLine="539"/>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询价通知书</w:t>
      </w:r>
    </w:p>
    <w:p>
      <w:pPr>
        <w:jc w:val="center"/>
        <w:rPr>
          <w:rFonts w:hint="eastAsia" w:ascii="宋体" w:hAnsi="宋体" w:eastAsia="宋体" w:cs="宋体"/>
          <w:b/>
          <w:bCs/>
          <w:color w:val="auto"/>
          <w:sz w:val="36"/>
          <w:szCs w:val="36"/>
          <w:highlight w:val="none"/>
        </w:rPr>
      </w:pPr>
    </w:p>
    <w:p>
      <w:pPr>
        <w:spacing w:line="480" w:lineRule="auto"/>
        <w:rPr>
          <w:rFonts w:hint="eastAsia" w:ascii="宋体" w:hAnsi="宋体" w:eastAsia="宋体" w:cs="宋体"/>
          <w:color w:val="auto"/>
          <w:sz w:val="32"/>
          <w:highlight w:val="none"/>
        </w:rPr>
      </w:pPr>
    </w:p>
    <w:p>
      <w:pPr>
        <w:spacing w:line="480" w:lineRule="auto"/>
        <w:rPr>
          <w:rFonts w:hint="eastAsia" w:ascii="宋体" w:hAnsi="宋体" w:eastAsia="宋体" w:cs="宋体"/>
          <w:color w:val="auto"/>
          <w:sz w:val="32"/>
          <w:highlight w:val="none"/>
        </w:rPr>
      </w:pPr>
    </w:p>
    <w:p>
      <w:pPr>
        <w:spacing w:line="48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p>
    <w:p>
      <w:pPr>
        <w:spacing w:line="480" w:lineRule="auto"/>
        <w:rPr>
          <w:rFonts w:hint="eastAsia" w:ascii="宋体" w:hAnsi="宋体" w:cs="宋体"/>
          <w:b/>
          <w:bCs/>
          <w:color w:val="auto"/>
          <w:kern w:val="0"/>
          <w:sz w:val="32"/>
          <w:szCs w:val="32"/>
          <w:highlight w:val="none"/>
          <w:lang w:eastAsia="zh-CN"/>
        </w:rPr>
      </w:pPr>
      <w:r>
        <w:rPr>
          <w:rFonts w:hint="eastAsia" w:ascii="宋体" w:hAnsi="宋体" w:eastAsia="宋体" w:cs="宋体"/>
          <w:color w:val="auto"/>
          <w:sz w:val="32"/>
          <w:highlight w:val="none"/>
        </w:rPr>
        <w:t xml:space="preserve"> </w:t>
      </w:r>
      <w:r>
        <w:rPr>
          <w:rFonts w:hint="eastAsia" w:ascii="宋体" w:hAnsi="宋体" w:cs="宋体"/>
          <w:color w:val="auto"/>
          <w:sz w:val="32"/>
          <w:highlight w:val="none"/>
          <w:lang w:val="en-US" w:eastAsia="zh-CN"/>
        </w:rPr>
        <w:t xml:space="preserve">       </w:t>
      </w:r>
      <w:r>
        <w:rPr>
          <w:rFonts w:hint="eastAsia" w:ascii="宋体" w:hAnsi="宋体" w:eastAsia="宋体" w:cs="宋体"/>
          <w:b/>
          <w:bCs/>
          <w:color w:val="auto"/>
          <w:sz w:val="32"/>
          <w:highlight w:val="none"/>
        </w:rPr>
        <w:t>项目名称：</w:t>
      </w:r>
      <w:r>
        <w:rPr>
          <w:rFonts w:hint="eastAsia" w:ascii="宋体" w:hAnsi="宋体" w:cs="宋体"/>
          <w:b/>
          <w:bCs/>
          <w:color w:val="auto"/>
          <w:kern w:val="0"/>
          <w:sz w:val="32"/>
          <w:szCs w:val="32"/>
          <w:highlight w:val="none"/>
          <w:lang w:eastAsia="zh-CN"/>
        </w:rPr>
        <w:t>上饶市广丰区中医院中药熏蒸机采购项目</w:t>
      </w:r>
    </w:p>
    <w:p>
      <w:pPr>
        <w:spacing w:line="480" w:lineRule="auto"/>
        <w:ind w:firstLine="1285" w:firstLineChars="400"/>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采购人：上饶市广丰区中医院</w:t>
      </w:r>
    </w:p>
    <w:p>
      <w:pPr>
        <w:pStyle w:val="3"/>
        <w:rPr>
          <w:rFonts w:hint="eastAsia" w:ascii="宋体" w:hAnsi="宋体" w:eastAsia="宋体" w:cs="宋体"/>
          <w:color w:val="auto"/>
          <w:highlight w:val="none"/>
        </w:rPr>
      </w:pPr>
    </w:p>
    <w:p>
      <w:pPr>
        <w:spacing w:line="480" w:lineRule="auto"/>
        <w:rPr>
          <w:rFonts w:hint="eastAsia" w:ascii="宋体" w:hAnsi="宋体" w:eastAsia="宋体" w:cs="宋体"/>
          <w:color w:val="auto"/>
          <w:sz w:val="36"/>
          <w:highlight w:val="none"/>
        </w:rPr>
      </w:pPr>
    </w:p>
    <w:p>
      <w:pPr>
        <w:spacing w:line="480" w:lineRule="auto"/>
        <w:rPr>
          <w:rFonts w:hint="eastAsia" w:ascii="宋体" w:hAnsi="宋体" w:eastAsia="宋体" w:cs="宋体"/>
          <w:color w:val="auto"/>
          <w:sz w:val="36"/>
          <w:highlight w:val="none"/>
        </w:rPr>
      </w:pPr>
    </w:p>
    <w:p>
      <w:pPr>
        <w:pStyle w:val="3"/>
        <w:rPr>
          <w:rFonts w:hint="eastAsia" w:ascii="宋体" w:hAnsi="宋体" w:eastAsia="宋体" w:cs="宋体"/>
          <w:color w:val="auto"/>
          <w:highlight w:val="none"/>
        </w:rPr>
      </w:pPr>
    </w:p>
    <w:p>
      <w:pPr>
        <w:rPr>
          <w:rFonts w:hint="eastAsia"/>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9"/>
        <w:rPr>
          <w:rStyle w:val="30"/>
          <w:rFonts w:hint="eastAsia" w:ascii="宋体" w:hAnsi="宋体" w:eastAsia="宋体" w:cs="宋体"/>
          <w:b w:val="0"/>
          <w:color w:val="auto"/>
          <w:highlight w:val="none"/>
        </w:rPr>
      </w:pPr>
    </w:p>
    <w:p>
      <w:pPr>
        <w:pStyle w:val="19"/>
        <w:rPr>
          <w:rStyle w:val="30"/>
          <w:rFonts w:hint="eastAsia" w:ascii="宋体" w:hAnsi="宋体" w:eastAsia="宋体" w:cs="宋体"/>
          <w:b w:val="0"/>
          <w:color w:val="auto"/>
          <w:highlight w:val="none"/>
        </w:rPr>
      </w:pPr>
    </w:p>
    <w:p>
      <w:pPr>
        <w:pStyle w:val="2"/>
        <w:numPr>
          <w:ilvl w:val="0"/>
          <w:numId w:val="1"/>
        </w:numPr>
        <w:jc w:val="center"/>
        <w:rPr>
          <w:rFonts w:hint="eastAsia" w:ascii="宋体" w:hAnsi="宋体" w:eastAsia="宋体" w:cs="宋体"/>
          <w:b/>
          <w:color w:val="auto"/>
          <w:sz w:val="32"/>
          <w:szCs w:val="32"/>
          <w:highlight w:val="none"/>
        </w:rPr>
      </w:pPr>
      <w:bookmarkStart w:id="0" w:name="_Toc28938"/>
      <w:bookmarkStart w:id="1" w:name="_Toc225565875"/>
      <w:bookmarkStart w:id="2" w:name="_Toc225565892"/>
      <w:bookmarkStart w:id="3" w:name="_Toc222824457"/>
      <w:r>
        <w:rPr>
          <w:rFonts w:hint="eastAsia" w:ascii="宋体" w:hAnsi="宋体" w:eastAsia="宋体" w:cs="宋体"/>
          <w:b/>
          <w:color w:val="auto"/>
          <w:sz w:val="32"/>
          <w:szCs w:val="32"/>
          <w:highlight w:val="none"/>
        </w:rPr>
        <w:t>询价邀请</w:t>
      </w:r>
      <w:bookmarkEnd w:id="0"/>
    </w:p>
    <w:p>
      <w:pPr>
        <w:numPr>
          <w:ilvl w:val="0"/>
          <w:numId w:val="0"/>
        </w:numPr>
        <w:rPr>
          <w:rFonts w:hint="eastAsia"/>
        </w:rPr>
      </w:pPr>
    </w:p>
    <w:p>
      <w:pPr>
        <w:pBdr>
          <w:top w:val="single" w:color="auto" w:sz="4" w:space="1"/>
          <w:left w:val="single" w:color="auto" w:sz="4" w:space="4"/>
          <w:bottom w:val="single" w:color="auto" w:sz="4" w:space="1"/>
          <w:right w:val="single" w:color="auto" w:sz="4" w:space="4"/>
        </w:pBd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ind w:firstLine="482" w:firstLineChars="200"/>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eastAsia="zh-CN"/>
        </w:rPr>
        <w:t>上饶市广丰区中医院中药熏蒸机采购项目</w:t>
      </w:r>
      <w:r>
        <w:rPr>
          <w:rFonts w:hint="eastAsia" w:ascii="宋体" w:hAnsi="宋体" w:eastAsia="宋体" w:cs="宋体"/>
          <w:color w:val="auto"/>
          <w:sz w:val="24"/>
          <w:szCs w:val="24"/>
          <w:highlight w:val="none"/>
        </w:rPr>
        <w:t>的的</w:t>
      </w:r>
      <w:r>
        <w:rPr>
          <w:rFonts w:hint="eastAsia" w:ascii="宋体" w:hAnsi="宋体" w:eastAsia="宋体" w:cs="宋体"/>
          <w:color w:val="auto"/>
          <w:sz w:val="24"/>
          <w:szCs w:val="24"/>
          <w:highlight w:val="none"/>
          <w:lang w:eastAsia="zh-CN"/>
        </w:rPr>
        <w:t>潜在</w:t>
      </w:r>
      <w:r>
        <w:rPr>
          <w:rFonts w:hint="eastAsia" w:ascii="宋体" w:hAnsi="宋体" w:eastAsia="宋体" w:cs="宋体"/>
          <w:color w:val="auto"/>
          <w:sz w:val="24"/>
          <w:szCs w:val="24"/>
          <w:highlight w:val="none"/>
        </w:rPr>
        <w:t>供应商应</w:t>
      </w:r>
      <w:r>
        <w:rPr>
          <w:rFonts w:hint="eastAsia" w:ascii="宋体" w:hAnsi="宋体" w:eastAsia="宋体" w:cs="宋体"/>
          <w:color w:val="auto"/>
          <w:sz w:val="24"/>
          <w:szCs w:val="24"/>
          <w:highlight w:val="none"/>
          <w:lang w:eastAsia="zh-CN"/>
        </w:rPr>
        <w:t>线下（上饶市广丰区中医院）领</w:t>
      </w:r>
      <w:r>
        <w:rPr>
          <w:rFonts w:hint="eastAsia" w:ascii="宋体" w:hAnsi="宋体" w:eastAsia="宋体" w:cs="宋体"/>
          <w:color w:val="auto"/>
          <w:sz w:val="24"/>
          <w:szCs w:val="24"/>
          <w:highlight w:val="none"/>
        </w:rPr>
        <w:t>取询价通知书及其它资料。并于202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点</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分（北京时间）前提交响应文件。</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pPr>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 xml:space="preserve">项目名称： </w:t>
      </w:r>
      <w:r>
        <w:rPr>
          <w:rFonts w:hint="eastAsia" w:ascii="宋体" w:hAnsi="宋体" w:cs="宋体"/>
          <w:color w:val="auto"/>
          <w:sz w:val="24"/>
          <w:szCs w:val="24"/>
          <w:highlight w:val="none"/>
          <w:lang w:eastAsia="zh-CN"/>
        </w:rPr>
        <w:t>上饶市广丰区中医院中药熏蒸机采购项目</w:t>
      </w:r>
    </w:p>
    <w:p>
      <w:pPr>
        <w:ind w:firstLine="480" w:firstLineChars="200"/>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预算金额：</w:t>
      </w:r>
      <w:r>
        <w:rPr>
          <w:rFonts w:hint="eastAsia" w:ascii="宋体" w:hAnsi="宋体" w:cs="宋体"/>
          <w:i w:val="0"/>
          <w:iCs w:val="0"/>
          <w:color w:val="auto"/>
          <w:sz w:val="24"/>
          <w:szCs w:val="24"/>
          <w:highlight w:val="none"/>
          <w:lang w:eastAsia="zh-CN"/>
        </w:rPr>
        <w:t xml:space="preserve"> </w:t>
      </w:r>
      <w:r>
        <w:rPr>
          <w:rFonts w:hint="eastAsia" w:ascii="宋体" w:hAnsi="宋体" w:cs="宋体"/>
          <w:i w:val="0"/>
          <w:iCs w:val="0"/>
          <w:color w:val="auto"/>
          <w:sz w:val="24"/>
          <w:szCs w:val="24"/>
          <w:highlight w:val="none"/>
          <w:lang w:val="en-US" w:eastAsia="zh-CN"/>
        </w:rPr>
        <w:t>90000元</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bl>
      <w:tblPr>
        <w:tblStyle w:val="26"/>
        <w:tblpPr w:leftFromText="180" w:rightFromText="180" w:vertAnchor="text" w:horzAnchor="page" w:tblpX="1248" w:tblpY="302"/>
        <w:tblOverlap w:val="never"/>
        <w:tblW w:w="4992" w:type="pct"/>
        <w:tblInd w:w="0" w:type="dxa"/>
        <w:tblLayout w:type="fixed"/>
        <w:tblCellMar>
          <w:top w:w="0" w:type="dxa"/>
          <w:left w:w="108" w:type="dxa"/>
          <w:bottom w:w="0" w:type="dxa"/>
          <w:right w:w="108" w:type="dxa"/>
        </w:tblCellMar>
      </w:tblPr>
      <w:tblGrid>
        <w:gridCol w:w="3126"/>
        <w:gridCol w:w="2683"/>
        <w:gridCol w:w="1364"/>
        <w:gridCol w:w="2666"/>
      </w:tblGrid>
      <w:tr>
        <w:tblPrEx>
          <w:tblCellMar>
            <w:top w:w="0" w:type="dxa"/>
            <w:left w:w="108" w:type="dxa"/>
            <w:bottom w:w="0" w:type="dxa"/>
            <w:right w:w="108" w:type="dxa"/>
          </w:tblCellMar>
        </w:tblPrEx>
        <w:trPr>
          <w:trHeight w:val="559" w:hRule="atLeast"/>
        </w:trPr>
        <w:tc>
          <w:tcPr>
            <w:tcW w:w="3126"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名称</w:t>
            </w:r>
          </w:p>
        </w:tc>
        <w:tc>
          <w:tcPr>
            <w:tcW w:w="2683" w:type="dxa"/>
            <w:tcBorders>
              <w:top w:val="single" w:color="auto" w:sz="4" w:space="0"/>
              <w:left w:val="nil"/>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品牌型号</w:t>
            </w:r>
          </w:p>
        </w:tc>
        <w:tc>
          <w:tcPr>
            <w:tcW w:w="1364"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666"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w:t>
            </w:r>
          </w:p>
        </w:tc>
      </w:tr>
      <w:tr>
        <w:tblPrEx>
          <w:tblCellMar>
            <w:top w:w="0" w:type="dxa"/>
            <w:left w:w="108" w:type="dxa"/>
            <w:bottom w:w="0" w:type="dxa"/>
            <w:right w:w="108" w:type="dxa"/>
          </w:tblCellMar>
        </w:tblPrEx>
        <w:trPr>
          <w:trHeight w:val="559" w:hRule="atLeast"/>
        </w:trPr>
        <w:tc>
          <w:tcPr>
            <w:tcW w:w="3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中药熏蒸机</w:t>
            </w:r>
          </w:p>
        </w:tc>
        <w:tc>
          <w:tcPr>
            <w:tcW w:w="2683"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Theme="majorEastAsia" w:hAnsiTheme="majorEastAsia" w:eastAsiaTheme="majorEastAsia"/>
                <w:sz w:val="28"/>
                <w:szCs w:val="28"/>
                <w:lang w:val="en-US" w:eastAsia="zh-CN"/>
              </w:rPr>
              <w:t>苏州好博</w:t>
            </w:r>
            <w:r>
              <w:rPr>
                <w:rFonts w:hint="eastAsia" w:asciiTheme="majorEastAsia" w:hAnsiTheme="majorEastAsia" w:eastAsiaTheme="majorEastAsia"/>
                <w:sz w:val="28"/>
                <w:szCs w:val="28"/>
                <w:lang w:eastAsia="zh-CN"/>
              </w:rPr>
              <w:t>HB4000</w:t>
            </w:r>
            <w:r>
              <w:rPr>
                <w:rFonts w:asciiTheme="majorEastAsia" w:hAnsiTheme="majorEastAsia" w:eastAsiaTheme="majorEastAsia"/>
                <w:sz w:val="28"/>
                <w:szCs w:val="28"/>
              </w:rPr>
              <w:t xml:space="preserve"> </w:t>
            </w:r>
          </w:p>
        </w:tc>
        <w:tc>
          <w:tcPr>
            <w:tcW w:w="1364" w:type="dxa"/>
            <w:tcBorders>
              <w:top w:val="single" w:color="auto" w:sz="4" w:space="0"/>
              <w:left w:val="nil"/>
              <w:bottom w:val="single" w:color="auto" w:sz="4" w:space="0"/>
              <w:right w:val="single" w:color="auto" w:sz="4" w:space="0"/>
            </w:tcBorders>
            <w:shd w:val="clear" w:color="auto" w:fill="auto"/>
            <w:vAlign w:val="center"/>
          </w:tcPr>
          <w:p>
            <w:pPr>
              <w:tabs>
                <w:tab w:val="left" w:pos="329"/>
              </w:tabs>
              <w:ind w:firstLine="480" w:firstLineChars="200"/>
              <w:jc w:val="left"/>
              <w:rPr>
                <w:rFonts w:hint="default" w:ascii="宋体" w:hAnsi="宋体" w:eastAsia="宋体" w:cs="宋体"/>
                <w:color w:val="auto"/>
                <w:sz w:val="24"/>
                <w:szCs w:val="24"/>
                <w:highlight w:val="yellow"/>
                <w:lang w:val="en-US" w:eastAsia="zh-CN"/>
              </w:rPr>
            </w:pPr>
            <w:r>
              <w:rPr>
                <w:rFonts w:hint="eastAsia" w:ascii="宋体" w:hAnsi="宋体" w:cs="宋体"/>
                <w:color w:val="auto"/>
                <w:sz w:val="24"/>
                <w:szCs w:val="24"/>
                <w:highlight w:val="none"/>
                <w:lang w:val="en-US" w:eastAsia="zh-CN"/>
              </w:rPr>
              <w:t>3</w:t>
            </w:r>
          </w:p>
        </w:tc>
        <w:tc>
          <w:tcPr>
            <w:tcW w:w="266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yellow"/>
                <w:lang w:val="en-US" w:eastAsia="zh-CN"/>
              </w:rPr>
            </w:pPr>
            <w:r>
              <w:rPr>
                <w:rFonts w:hint="eastAsia" w:ascii="宋体" w:hAnsi="宋体" w:cs="宋体"/>
                <w:color w:val="auto"/>
                <w:sz w:val="24"/>
                <w:szCs w:val="24"/>
                <w:highlight w:val="none"/>
                <w:lang w:val="en-US" w:eastAsia="zh-CN"/>
              </w:rPr>
              <w:t>90000</w:t>
            </w:r>
          </w:p>
        </w:tc>
      </w:tr>
    </w:tbl>
    <w:p>
      <w:pPr>
        <w:spacing w:line="240" w:lineRule="auto"/>
        <w:ind w:left="-2" w:leftChars="0" w:firstLine="0" w:firstLineChars="0"/>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中标签订合同后</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日内设备到达</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指定地点</w:t>
      </w:r>
      <w:r>
        <w:rPr>
          <w:rFonts w:hint="eastAsia" w:asciiTheme="minorEastAsia" w:hAnsiTheme="minorEastAsia" w:eastAsiaTheme="minorEastAsia" w:cstheme="minorEastAsia"/>
          <w:color w:val="auto"/>
          <w:sz w:val="24"/>
          <w:szCs w:val="24"/>
          <w:highlight w:val="none"/>
          <w:lang w:eastAsia="zh-CN"/>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（1）具有独立承担民事责任的能力</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（2）具有良好的商业信誉和健全的财务会计制度 </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（3）具有履行合同所必</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lang w:eastAsia="zh-CN"/>
        </w:rPr>
        <w:t xml:space="preserve">的设备和专业技术能力 </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（4）有依法缴纳税收和社会保障资金的良好记录</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（5）参加政府采购活动前三年内,在经营活动中没有重大违法记录</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（6）法律、行政法规规定的其他条件。</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，不得参加同一合同项下的采购活动。</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3.为本采购项目提供整体设计、规范编制或者项目管理、监理、检测等服务的，不得参加本项目的政府采购活动。</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信用中国”网站和中国政府采购网查询相关主体信用记录，被列入失信被执行人、重大税收违法失信主体、政府采购严重违法失信行为记录名单的供应商（处罚期限尚未届满的），不得参与本项目的政府采购活动。</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5.落实政府采购政策需满足的资格要求：如本项目采购的产品属于政府强制采购节能产品的，必须提供《节能产品政府采购品目清单》的产品。</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6.本项目的特定资格要求：</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（1）二、三类医疗器械产品须具有医疗器械注册证，一类医疗器械产品须具有产品备案登记； （2）在中华人民共和国境内生产的二、三类医疗器械产品的须具有医疗器械生产许可证,一类医疗器械产品须具有医疗器械生产备案； （3）经营三类医疗器械的须具有医疗器械经营企业许可证，二类医疗器械须具有医疗器械经营企业备案登记。</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三、获取询价通知书</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时间：202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eastAsia="zh-CN"/>
        </w:rPr>
        <w:t>08:30</w:t>
      </w:r>
      <w:r>
        <w:rPr>
          <w:rFonts w:hint="eastAsia" w:ascii="宋体" w:hAnsi="宋体" w:eastAsia="宋体" w:cs="宋体"/>
          <w:bCs/>
          <w:color w:val="auto"/>
          <w:sz w:val="24"/>
          <w:szCs w:val="24"/>
          <w:highlight w:val="none"/>
        </w:rPr>
        <w:t>至202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eastAsia="zh-CN"/>
        </w:rPr>
        <w:t>17:30</w:t>
      </w:r>
      <w:r>
        <w:rPr>
          <w:rFonts w:hint="eastAsia" w:ascii="宋体" w:hAnsi="宋体" w:eastAsia="宋体" w:cs="宋体"/>
          <w:bCs/>
          <w:color w:val="auto"/>
          <w:sz w:val="24"/>
          <w:szCs w:val="24"/>
          <w:highlight w:val="none"/>
        </w:rPr>
        <w:t>（北京时间，法定节假日除外 ）</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地点：上饶市广丰区中医院</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方式：线</w:t>
      </w:r>
      <w:r>
        <w:rPr>
          <w:rFonts w:hint="eastAsia" w:ascii="宋体" w:hAnsi="宋体" w:eastAsia="宋体" w:cs="宋体"/>
          <w:bCs/>
          <w:color w:val="auto"/>
          <w:sz w:val="24"/>
          <w:szCs w:val="24"/>
          <w:highlight w:val="none"/>
          <w:lang w:eastAsia="zh-CN"/>
        </w:rPr>
        <w:t>下</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或在线下截</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领取询价通知书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四、提交响应文件截止时间和地点</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点</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0分（北京时间）</w:t>
      </w:r>
    </w:p>
    <w:p>
      <w:pPr>
        <w:ind w:firstLine="480" w:firstLineChars="20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color w:val="auto"/>
          <w:sz w:val="24"/>
          <w:szCs w:val="24"/>
          <w:highlight w:val="none"/>
        </w:rPr>
        <w:t>地    点：上饶市广丰区</w:t>
      </w:r>
      <w:r>
        <w:rPr>
          <w:rFonts w:hint="eastAsia" w:ascii="宋体" w:hAnsi="宋体" w:eastAsia="宋体" w:cs="宋体"/>
          <w:color w:val="auto"/>
          <w:sz w:val="24"/>
          <w:szCs w:val="24"/>
          <w:highlight w:val="none"/>
          <w:lang w:val="en-US" w:eastAsia="zh-CN"/>
        </w:rPr>
        <w:t>中医院</w:t>
      </w:r>
      <w:r>
        <w:rPr>
          <w:rFonts w:hint="eastAsia" w:ascii="宋体" w:hAnsi="宋体" w:cs="宋体"/>
          <w:color w:val="auto"/>
          <w:sz w:val="24"/>
          <w:szCs w:val="24"/>
          <w:highlight w:val="none"/>
          <w:lang w:val="en-US" w:eastAsia="zh-CN"/>
        </w:rPr>
        <w:t>中医药大楼二</w:t>
      </w:r>
      <w:r>
        <w:rPr>
          <w:rFonts w:hint="eastAsia" w:ascii="宋体" w:hAnsi="宋体" w:eastAsia="宋体" w:cs="宋体"/>
          <w:color w:val="auto"/>
          <w:sz w:val="24"/>
          <w:szCs w:val="24"/>
          <w:highlight w:val="none"/>
          <w:lang w:val="en-US" w:eastAsia="zh-CN"/>
        </w:rPr>
        <w:t>楼会议室</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p>
    <w:p>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u w:val="single"/>
        </w:rPr>
        <w:t xml:space="preserve"> 3 </w:t>
      </w:r>
      <w:r>
        <w:rPr>
          <w:rFonts w:hint="eastAsia" w:ascii="宋体" w:hAnsi="宋体" w:eastAsia="宋体" w:cs="宋体"/>
          <w:color w:val="auto"/>
          <w:kern w:val="0"/>
          <w:sz w:val="24"/>
          <w:szCs w:val="24"/>
          <w:highlight w:val="none"/>
        </w:rPr>
        <w:t>个工作日。</w:t>
      </w:r>
    </w:p>
    <w:p>
      <w:pPr>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其他补充事宜</w:t>
      </w:r>
    </w:p>
    <w:p>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本项目非专门面向中小企业采购；本项目不允许分包转包。</w:t>
      </w:r>
    </w:p>
    <w:p>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2、凡领取本询价文件的单位，必须就此采购项目的相关事宜详细咨询。否则参与询价即被视为已经充分了解了招标方的需求，成交后承担询价文件范围内的所有要求。</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七、对本次采购提出询问，请按以下方式联系。</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称：上饶市广丰区中医院　　　　　　　　　　　　</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址：上饶市广丰区铜钹山大道</w:t>
      </w:r>
    </w:p>
    <w:p>
      <w:pPr>
        <w:spacing w:line="360" w:lineRule="auto"/>
        <w:ind w:firstLine="480" w:firstLineChars="200"/>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甘燕燕</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13767373776</w:t>
      </w:r>
    </w:p>
    <w:p>
      <w:pPr>
        <w:pStyle w:val="15"/>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u w:val="single"/>
        </w:rPr>
      </w:pPr>
    </w:p>
    <w:p>
      <w:pPr>
        <w:spacing w:line="360" w:lineRule="auto"/>
        <w:ind w:firstLine="120" w:firstLineChars="50"/>
        <w:rPr>
          <w:rFonts w:hint="eastAsia" w:ascii="宋体" w:hAnsi="宋体" w:eastAsia="宋体" w:cs="宋体"/>
          <w:bCs/>
          <w:color w:val="auto"/>
          <w:sz w:val="24"/>
          <w:szCs w:val="24"/>
          <w:highlight w:val="none"/>
        </w:rPr>
      </w:pPr>
    </w:p>
    <w:p>
      <w:pPr>
        <w:spacing w:line="360" w:lineRule="auto"/>
        <w:ind w:firstLine="120" w:firstLineChars="50"/>
        <w:rPr>
          <w:rFonts w:hint="eastAsia" w:ascii="宋体" w:hAnsi="宋体" w:eastAsia="宋体" w:cs="宋体"/>
          <w:bCs/>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bCs/>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rPr>
          <w:rFonts w:hint="eastAsia"/>
        </w:rPr>
      </w:pPr>
    </w:p>
    <w:p>
      <w:pPr>
        <w:pStyle w:val="8"/>
        <w:rPr>
          <w:rFonts w:hint="eastAsia" w:ascii="宋体" w:hAnsi="宋体" w:eastAsia="宋体" w:cs="宋体"/>
          <w:highlight w:val="none"/>
        </w:rPr>
      </w:pPr>
    </w:p>
    <w:p>
      <w:pPr>
        <w:pStyle w:val="2"/>
        <w:jc w:val="center"/>
        <w:rPr>
          <w:rFonts w:hint="eastAsia" w:ascii="宋体" w:hAnsi="宋体" w:eastAsia="宋体" w:cs="宋体"/>
          <w:b/>
          <w:bCs/>
          <w:color w:val="auto"/>
          <w:sz w:val="32"/>
          <w:highlight w:val="none"/>
        </w:rPr>
      </w:pPr>
      <w:bookmarkStart w:id="4" w:name="_Toc19112"/>
      <w:bookmarkStart w:id="5" w:name="_Toc287002503"/>
      <w:r>
        <w:rPr>
          <w:rFonts w:hint="eastAsia" w:ascii="宋体" w:hAnsi="宋体" w:eastAsia="宋体" w:cs="宋体"/>
          <w:b/>
          <w:bCs/>
          <w:color w:val="auto"/>
          <w:sz w:val="32"/>
          <w:highlight w:val="none"/>
        </w:rPr>
        <w:t>第二章　供应商须知</w:t>
      </w:r>
      <w:bookmarkEnd w:id="4"/>
      <w:bookmarkEnd w:id="5"/>
    </w:p>
    <w:p>
      <w:pPr>
        <w:pStyle w:val="3"/>
        <w:spacing w:before="0" w:after="0" w:line="440" w:lineRule="exact"/>
        <w:jc w:val="center"/>
        <w:rPr>
          <w:rFonts w:hint="eastAsia" w:ascii="宋体" w:hAnsi="宋体" w:eastAsia="宋体" w:cs="宋体"/>
          <w:color w:val="auto"/>
          <w:sz w:val="28"/>
          <w:szCs w:val="28"/>
          <w:highlight w:val="none"/>
        </w:rPr>
      </w:pPr>
      <w:bookmarkStart w:id="6" w:name="_Toc373342697"/>
      <w:bookmarkStart w:id="7" w:name="_Toc373342648"/>
      <w:bookmarkStart w:id="8" w:name="_Toc30736"/>
      <w:bookmarkStart w:id="9" w:name="_Toc287002504"/>
      <w:bookmarkStart w:id="10" w:name="_Toc373401591"/>
      <w:r>
        <w:rPr>
          <w:rFonts w:hint="eastAsia" w:ascii="宋体" w:hAnsi="宋体" w:eastAsia="宋体" w:cs="宋体"/>
          <w:color w:val="auto"/>
          <w:sz w:val="28"/>
          <w:szCs w:val="28"/>
          <w:highlight w:val="none"/>
        </w:rPr>
        <w:t>一、供应商须知前附表</w:t>
      </w:r>
      <w:bookmarkEnd w:id="6"/>
      <w:bookmarkEnd w:id="7"/>
      <w:bookmarkEnd w:id="8"/>
      <w:bookmarkEnd w:id="9"/>
      <w:bookmarkEnd w:id="10"/>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901" w:type="dxa"/>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901"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901"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供应商的资格要求：详见“第一章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901" w:type="dxa"/>
          </w:tcPr>
          <w:p>
            <w:pPr>
              <w:spacing w:before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本项目是否接受联合体投标：详见“第一章 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901" w:type="dxa"/>
          </w:tcPr>
          <w:p>
            <w:pPr>
              <w:spacing w:beforeLines="5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供应商应当提交的资格、资信证明文件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901" w:type="dxa"/>
          </w:tcPr>
          <w:p>
            <w:pPr>
              <w:spacing w:line="460" w:lineRule="exact"/>
              <w:rPr>
                <w:rFonts w:hint="eastAsia" w:ascii="宋体" w:hAnsi="宋体" w:eastAsia="宋体" w:cs="宋体"/>
                <w:color w:val="C00000"/>
                <w:sz w:val="24"/>
                <w:szCs w:val="24"/>
                <w:highlight w:val="none"/>
                <w:lang w:eastAsia="zh-CN"/>
              </w:rPr>
            </w:pPr>
            <w:r>
              <w:rPr>
                <w:rFonts w:hint="eastAsia" w:ascii="宋体" w:hAnsi="宋体" w:eastAsia="宋体" w:cs="宋体"/>
                <w:color w:val="auto"/>
                <w:sz w:val="24"/>
                <w:szCs w:val="24"/>
                <w:highlight w:val="none"/>
              </w:rPr>
              <w:t>超过了采购项目预算或最高限价的</w:t>
            </w:r>
            <w:r>
              <w:rPr>
                <w:rFonts w:hint="eastAsia" w:ascii="宋体" w:hAnsi="宋体" w:eastAsia="宋体" w:cs="宋体"/>
                <w:b/>
                <w:color w:val="auto"/>
                <w:sz w:val="24"/>
                <w:szCs w:val="24"/>
                <w:highlight w:val="none"/>
              </w:rPr>
              <w:t>被视为响应无效</w:t>
            </w:r>
          </w:p>
          <w:p>
            <w:pPr>
              <w:keepNext w:val="0"/>
              <w:keepLines w:val="0"/>
              <w:widowControl/>
              <w:suppressLineNumbers w:val="0"/>
              <w:jc w:val="left"/>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901"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询价有效期：自询价之日起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90  </w:t>
            </w:r>
            <w:r>
              <w:rPr>
                <w:rFonts w:hint="eastAsia" w:ascii="宋体" w:hAnsi="宋体" w:eastAsia="宋体"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901"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响应文件的份数：正本1份、 副本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注：响应文件正、副本均需胶装成册。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901"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响应文件递交截止时间：详见“第一章  询价邀请”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询价时间：详见“第一章  询价邀请”</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询价地点：详见“第一章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901" w:type="dxa"/>
            <w:vAlign w:val="center"/>
          </w:tcPr>
          <w:p>
            <w:pPr>
              <w:adjustRightInd w:val="0"/>
              <w:snapToGrid w:val="0"/>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确定成交供应商：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GB"/>
              </w:rPr>
              <w:t>根据质量和服务均能满足</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val="en-GB"/>
              </w:rPr>
              <w:t>文件实质性响应要求且报价最低的原则确定成交供应商。</w:t>
            </w:r>
          </w:p>
        </w:tc>
      </w:tr>
      <w:bookmarkEnd w:id="1"/>
      <w:bookmarkEnd w:id="2"/>
      <w:bookmarkEnd w:id="3"/>
    </w:tbl>
    <w:p>
      <w:pPr>
        <w:pStyle w:val="3"/>
        <w:spacing w:before="0" w:after="0" w:line="440" w:lineRule="exact"/>
        <w:rPr>
          <w:rFonts w:hint="eastAsia" w:ascii="宋体" w:hAnsi="宋体" w:eastAsia="宋体" w:cs="宋体"/>
          <w:color w:val="auto"/>
          <w:sz w:val="28"/>
          <w:szCs w:val="28"/>
          <w:highlight w:val="none"/>
          <w:lang w:val="en-US" w:eastAsia="zh-CN"/>
        </w:rPr>
      </w:pPr>
      <w:bookmarkStart w:id="11" w:name="_Toc386209615"/>
      <w:bookmarkStart w:id="12" w:name="_Toc25659"/>
      <w:bookmarkStart w:id="13" w:name="_Toc225565913"/>
    </w:p>
    <w:p>
      <w:pPr>
        <w:pStyle w:val="3"/>
        <w:spacing w:before="0" w:after="0" w:line="440" w:lineRule="exact"/>
        <w:ind w:firstLine="3373" w:firstLineChars="1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 响应文件的编制</w:t>
      </w:r>
      <w:bookmarkEnd w:id="11"/>
      <w:bookmarkEnd w:id="12"/>
    </w:p>
    <w:p>
      <w:pPr>
        <w:spacing w:line="440" w:lineRule="exact"/>
        <w:rPr>
          <w:rFonts w:hint="eastAsia" w:ascii="宋体" w:hAnsi="宋体" w:eastAsia="宋体" w:cs="宋体"/>
          <w:b/>
          <w:color w:val="auto"/>
          <w:sz w:val="24"/>
          <w:highlight w:val="none"/>
        </w:rPr>
      </w:pPr>
      <w:bookmarkStart w:id="14" w:name="_Toc262628452"/>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 提示</w:t>
      </w:r>
      <w:bookmarkEnd w:id="14"/>
    </w:p>
    <w:p>
      <w:pPr>
        <w:spacing w:line="440" w:lineRule="exact"/>
        <w:ind w:left="454" w:hanging="454"/>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供应商应认真阅读询价通知书的全部内容，按照询价通知书的要求提供响应文件和资料。</w:t>
      </w:r>
    </w:p>
    <w:p>
      <w:pPr>
        <w:spacing w:line="400" w:lineRule="exact"/>
        <w:ind w:left="480" w:hanging="480" w:hanging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供应商提交的响应文件以及供应商与采购人所有来往书面文件均须使用中文。响应文件中如附有外文资料，必须逐一对应翻译成中文</w:t>
      </w:r>
      <w:r>
        <w:rPr>
          <w:rFonts w:hint="eastAsia" w:ascii="宋体" w:hAnsi="宋体" w:eastAsia="宋体" w:cs="宋体"/>
          <w:color w:val="auto"/>
          <w:sz w:val="24"/>
          <w:highlight w:val="none"/>
        </w:rPr>
        <w:t>。</w:t>
      </w:r>
    </w:p>
    <w:p>
      <w:pPr>
        <w:spacing w:line="40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翻译的中文资料与外文资料如果出现差异和矛盾时，以中文为准。</w:t>
      </w:r>
    </w:p>
    <w:p>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 响应文件计量单位</w:t>
      </w:r>
      <w:r>
        <w:rPr>
          <w:rFonts w:hint="eastAsia" w:ascii="宋体" w:hAnsi="宋体" w:eastAsia="宋体" w:cs="宋体"/>
          <w:b/>
          <w:color w:val="auto"/>
          <w:sz w:val="24"/>
          <w:szCs w:val="24"/>
          <w:highlight w:val="none"/>
        </w:rPr>
        <w:tab/>
      </w:r>
    </w:p>
    <w:p>
      <w:pPr>
        <w:spacing w:line="460" w:lineRule="exact"/>
        <w:ind w:left="454" w:leftChars="2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响应文件中所使用的计量单位, 除询价通知书中有特殊要求外，均应采用国家法定计量单位。</w:t>
      </w:r>
    </w:p>
    <w:p>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 响应文件的构成</w:t>
      </w:r>
    </w:p>
    <w:p>
      <w:pPr>
        <w:spacing w:line="46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.1响应文件应由下列部分构成：</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书</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报价表</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技术需求</w:t>
      </w:r>
      <w:r>
        <w:rPr>
          <w:rFonts w:hint="eastAsia" w:ascii="宋体" w:hAnsi="宋体" w:eastAsia="宋体" w:cs="宋体"/>
          <w:bCs/>
          <w:color w:val="auto"/>
          <w:sz w:val="24"/>
          <w:szCs w:val="24"/>
          <w:highlight w:val="none"/>
        </w:rPr>
        <w:t>响应/偏离表</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、商务条件响应/偏离表</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应当提交的资格、资信证明文件</w:t>
      </w:r>
    </w:p>
    <w:p>
      <w:pPr>
        <w:spacing w:line="44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.供应商应将响应文件胶装成册。</w:t>
      </w:r>
    </w:p>
    <w:p>
      <w:pPr>
        <w:spacing w:line="440" w:lineRule="exact"/>
        <w:rPr>
          <w:rFonts w:hint="eastAsia" w:ascii="宋体" w:hAnsi="宋体" w:eastAsia="宋体" w:cs="宋体"/>
          <w:b/>
          <w:color w:val="auto"/>
          <w:sz w:val="24"/>
          <w:highlight w:val="none"/>
        </w:rPr>
      </w:pPr>
      <w:bookmarkStart w:id="15" w:name="_Toc262628457"/>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 报价</w:t>
      </w:r>
      <w:bookmarkEnd w:id="15"/>
    </w:p>
    <w:p>
      <w:pPr>
        <w:spacing w:line="44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.1参加询价采购活动的供应商，应当按照询价通知书的规定一次报出不得更改的价格。</w:t>
      </w:r>
    </w:p>
    <w:p>
      <w:pPr>
        <w:spacing w:line="440" w:lineRule="exact"/>
        <w:ind w:left="567" w:hanging="567"/>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.2所有响应文件均以人民币报价，报价内容包含询价通知书规定的货物，标准附件，备品备件，专用工具，安装、调试、检验，培训，技术服务，运至最终目的地的运费、保险费和税费等相关费用。</w:t>
      </w:r>
    </w:p>
    <w:p>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.3供应商要按报价表（统一格式）和分项报价表（统一格式）的内容填写产品单价、总价及其他事项。总价中不得包含询价通知书要求以外的内容，否则，在评审时不予核减。</w:t>
      </w:r>
      <w:r>
        <w:rPr>
          <w:rFonts w:hint="eastAsia" w:ascii="宋体" w:hAnsi="宋体" w:eastAsia="宋体" w:cs="宋体"/>
          <w:b/>
          <w:color w:val="auto"/>
          <w:sz w:val="24"/>
          <w:highlight w:val="none"/>
        </w:rPr>
        <w:t>若供应商不同意，将被视为响应无效。</w:t>
      </w:r>
    </w:p>
    <w:p>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.4</w:t>
      </w:r>
      <w:r>
        <w:rPr>
          <w:rFonts w:hint="eastAsia" w:ascii="宋体" w:hAnsi="宋体" w:eastAsia="宋体" w:cs="宋体"/>
          <w:color w:val="auto"/>
          <w:sz w:val="24"/>
          <w:szCs w:val="24"/>
          <w:highlight w:val="none"/>
        </w:rPr>
        <w:t>总价中不得缺漏询价通知书所要求的内容，否则，评审时将有效响应中该项内容的最高价计入其总价。缺漏部分成交后须提供，且成交价以响应报价为准</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若供应商不同意，将被视为响应无效。</w:t>
      </w:r>
    </w:p>
    <w:p>
      <w:pPr>
        <w:spacing w:line="460" w:lineRule="exact"/>
        <w:ind w:left="480" w:hanging="480" w:hangingChars="200"/>
        <w:rPr>
          <w:rFonts w:hint="eastAsia" w:ascii="宋体" w:hAnsi="宋体" w:eastAsia="宋体" w:cs="宋体"/>
          <w:b/>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.5供应商所报的价格在合同执行过程中是固定不变的，不得以任何理由予以变更。供应商应对所有询价内容进行响应，且只提供最优方案一套，供应商提交任何包含价格调整要求的响应将按非实质性响应</w:t>
      </w:r>
      <w:r>
        <w:rPr>
          <w:rFonts w:hint="eastAsia" w:ascii="宋体" w:hAnsi="宋体" w:eastAsia="宋体" w:cs="宋体"/>
          <w:b/>
          <w:color w:val="auto"/>
          <w:sz w:val="24"/>
          <w:szCs w:val="24"/>
          <w:highlight w:val="none"/>
        </w:rPr>
        <w:t>被视为响应无效。</w:t>
      </w:r>
      <w:bookmarkStart w:id="16" w:name="_Toc262628458"/>
      <w:r>
        <w:rPr>
          <w:rFonts w:hint="eastAsia" w:ascii="宋体" w:hAnsi="宋体" w:eastAsia="宋体" w:cs="宋体"/>
          <w:b/>
          <w:color w:val="auto"/>
          <w:sz w:val="24"/>
          <w:highlight w:val="none"/>
        </w:rPr>
        <w:t xml:space="preserve"> </w:t>
      </w:r>
      <w:bookmarkEnd w:id="16"/>
      <w:bookmarkStart w:id="17" w:name="_Toc262628459"/>
    </w:p>
    <w:p>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 询价有效期</w:t>
      </w:r>
      <w:bookmarkEnd w:id="17"/>
    </w:p>
    <w:p>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6.1询价有效期为自询价之日起不少于“供应商须知前附表”规定的时间保持有效。询价有效期不足的响应文件</w:t>
      </w:r>
      <w:r>
        <w:rPr>
          <w:rFonts w:hint="eastAsia" w:ascii="宋体" w:hAnsi="宋体" w:eastAsia="宋体" w:cs="宋体"/>
          <w:b/>
          <w:color w:val="auto"/>
          <w:sz w:val="24"/>
          <w:szCs w:val="24"/>
          <w:highlight w:val="none"/>
        </w:rPr>
        <w:t>被视为无效。</w:t>
      </w:r>
    </w:p>
    <w:p>
      <w:pPr>
        <w:spacing w:line="440" w:lineRule="exact"/>
        <w:rPr>
          <w:rFonts w:hint="eastAsia" w:ascii="宋体" w:hAnsi="宋体" w:eastAsia="宋体" w:cs="宋体"/>
          <w:color w:val="auto"/>
          <w:sz w:val="24"/>
          <w:highlight w:val="none"/>
        </w:rPr>
      </w:pPr>
      <w:bookmarkStart w:id="18" w:name="_Toc262628460"/>
      <w:r>
        <w:rPr>
          <w:rFonts w:hint="eastAsia" w:ascii="宋体" w:hAnsi="宋体" w:eastAsia="宋体" w:cs="宋体"/>
          <w:b/>
          <w:color w:val="auto"/>
          <w:sz w:val="24"/>
          <w:highlight w:val="none"/>
        </w:rPr>
        <w:t>7. 响应文件的签署及规定</w:t>
      </w:r>
      <w:bookmarkEnd w:id="18"/>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供应商应准备一份响应文件正本和“供应商须知前附表”规定份数的副本。每套响应文件须清楚地标明“正本”或“副本”。若正本和副本不符，以正本为准。</w:t>
      </w:r>
    </w:p>
    <w:p>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响应文件的正本必须打印，并按询价通知书的要求签字、盖章。副本可采用正本的复印件。</w:t>
      </w:r>
      <w:r>
        <w:rPr>
          <w:rFonts w:hint="eastAsia" w:ascii="宋体" w:hAnsi="宋体" w:eastAsia="宋体" w:cs="宋体"/>
          <w:b/>
          <w:color w:val="auto"/>
          <w:sz w:val="24"/>
          <w:szCs w:val="24"/>
          <w:highlight w:val="none"/>
        </w:rPr>
        <w:t>响应文件正、副本均需胶装成册。</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响应文件不得涂改和增删，如有修改，必须由响应文件签字人签字或盖章。</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响应文件因字迹潦草或表达不清所引起的后果由供应商负责。</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电报、电传、传真形式的响应文件概不接受。</w:t>
      </w:r>
    </w:p>
    <w:p>
      <w:pPr>
        <w:pStyle w:val="3"/>
        <w:spacing w:before="0" w:after="0" w:line="440" w:lineRule="exact"/>
        <w:ind w:firstLine="3373" w:firstLineChars="1200"/>
        <w:rPr>
          <w:rFonts w:hint="eastAsia" w:ascii="宋体" w:hAnsi="宋体" w:eastAsia="宋体" w:cs="宋体"/>
          <w:color w:val="auto"/>
          <w:sz w:val="28"/>
          <w:szCs w:val="28"/>
          <w:highlight w:val="none"/>
        </w:rPr>
      </w:pPr>
      <w:bookmarkStart w:id="19" w:name="_Toc287002508"/>
      <w:bookmarkStart w:id="20" w:name="_Toc17031"/>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 响应文件的递交</w:t>
      </w:r>
      <w:bookmarkEnd w:id="19"/>
      <w:bookmarkEnd w:id="20"/>
    </w:p>
    <w:p>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 响应文件的密封及标记</w:t>
      </w:r>
    </w:p>
    <w:p>
      <w:pPr>
        <w:spacing w:line="440" w:lineRule="exact"/>
        <w:ind w:left="510" w:hanging="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8.1供应商应将响应文件正本和“供应商须知前附表”规定的副本分开密封装在单独的信封中，且在信封上标明“正本”“副本”字样。</w:t>
      </w:r>
    </w:p>
    <w:p>
      <w:pPr>
        <w:spacing w:line="440" w:lineRule="exact"/>
        <w:ind w:left="600"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信封封口处有询价全权代表的签字或单位公章。封皮上注明询价项目名称、供应商名称、电话、联系人，并注明“询价时启封”字样。</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如果供应商未按上述要求密封及加写标记，采购人对响应文件的误投和提前启封概不负责。</w:t>
      </w:r>
    </w:p>
    <w:p>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 询价截止时间</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9.1供应商必须在“第一章 询价邀请”规定的截止时间前，将响应文件密封送达指定地点。</w:t>
      </w:r>
    </w:p>
    <w:p>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0. 迟交的响应文件</w:t>
      </w:r>
    </w:p>
    <w:p>
      <w:pPr>
        <w:spacing w:line="440" w:lineRule="exact"/>
        <w:ind w:left="510" w:hanging="51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0.1在响应文件递交截止时间以后送达的响应文件，采购人将拒绝接收。</w:t>
      </w:r>
    </w:p>
    <w:p>
      <w:pPr>
        <w:pStyle w:val="3"/>
        <w:spacing w:before="0" w:after="0" w:line="440" w:lineRule="exact"/>
        <w:ind w:firstLine="3373" w:firstLineChars="1200"/>
        <w:rPr>
          <w:rFonts w:hint="eastAsia" w:ascii="宋体" w:hAnsi="宋体" w:eastAsia="宋体" w:cs="宋体"/>
          <w:color w:val="auto"/>
          <w:sz w:val="28"/>
          <w:szCs w:val="28"/>
          <w:highlight w:val="none"/>
        </w:rPr>
      </w:pPr>
      <w:bookmarkStart w:id="21" w:name="_Toc287002509"/>
      <w:bookmarkStart w:id="22" w:name="_Toc13638"/>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w:t>
      </w:r>
      <w:bookmarkEnd w:id="21"/>
      <w:r>
        <w:rPr>
          <w:rFonts w:hint="eastAsia" w:ascii="宋体" w:hAnsi="宋体" w:eastAsia="宋体" w:cs="宋体"/>
          <w:color w:val="auto"/>
          <w:sz w:val="28"/>
          <w:szCs w:val="28"/>
          <w:highlight w:val="none"/>
        </w:rPr>
        <w:t>询价与评审</w:t>
      </w:r>
      <w:bookmarkEnd w:id="22"/>
    </w:p>
    <w:p>
      <w:pPr>
        <w:spacing w:line="440" w:lineRule="exact"/>
        <w:rPr>
          <w:rFonts w:hint="eastAsia" w:ascii="宋体" w:hAnsi="宋体" w:eastAsia="宋体" w:cs="宋体"/>
          <w:b/>
          <w:color w:val="auto"/>
          <w:sz w:val="24"/>
          <w:highlight w:val="none"/>
        </w:rPr>
      </w:pPr>
      <w:bookmarkStart w:id="23" w:name="_Toc192386816"/>
      <w:bookmarkStart w:id="24" w:name="_Toc262628626"/>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rPr>
        <w:t>. 公开报价</w:t>
      </w:r>
    </w:p>
    <w:p>
      <w:pPr>
        <w:spacing w:line="44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.1采购人在“第一章 询价邀请”中规定的时间、地点主持公开报价。公开报价时邀请所有供应商参加。</w:t>
      </w:r>
    </w:p>
    <w:p>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b/>
          <w:color w:val="auto"/>
          <w:sz w:val="24"/>
          <w:highlight w:val="none"/>
        </w:rPr>
        <w:t>响应供应商在有关人员的监督下，在询价现场检查响应文件的密封情况并签字确认</w:t>
      </w:r>
      <w:r>
        <w:rPr>
          <w:rFonts w:hint="eastAsia" w:ascii="宋体" w:hAnsi="宋体" w:eastAsia="宋体" w:cs="宋体"/>
          <w:b/>
          <w:color w:val="auto"/>
          <w:sz w:val="24"/>
          <w:szCs w:val="24"/>
          <w:highlight w:val="none"/>
        </w:rPr>
        <w:t>，确认无误后，</w:t>
      </w:r>
      <w:r>
        <w:rPr>
          <w:rFonts w:hint="eastAsia" w:ascii="宋体" w:hAnsi="宋体" w:eastAsia="宋体" w:cs="宋体"/>
          <w:b/>
          <w:color w:val="000000" w:themeColor="text1"/>
          <w:sz w:val="24"/>
          <w:szCs w:val="24"/>
          <w:highlight w:val="none"/>
          <w14:textFill>
            <w14:solidFill>
              <w14:schemeClr w14:val="tx1"/>
            </w14:solidFill>
          </w14:textFill>
        </w:rPr>
        <w:t>按</w:t>
      </w:r>
      <w:r>
        <w:rPr>
          <w:rFonts w:hint="eastAsia" w:ascii="宋体" w:hAnsi="宋体" w:eastAsia="宋体" w:cs="宋体"/>
          <w:b/>
          <w:color w:val="000000" w:themeColor="text1"/>
          <w:sz w:val="24"/>
          <w:szCs w:val="24"/>
          <w:highlight w:val="none"/>
          <w:lang w:val="en-GB"/>
          <w14:textFill>
            <w14:solidFill>
              <w14:schemeClr w14:val="tx1"/>
            </w14:solidFill>
          </w14:textFill>
        </w:rPr>
        <w:t>递交</w:t>
      </w:r>
      <w:r>
        <w:rPr>
          <w:rFonts w:hint="eastAsia" w:ascii="宋体" w:hAnsi="宋体" w:eastAsia="宋体" w:cs="宋体"/>
          <w:b/>
          <w:color w:val="000000" w:themeColor="text1"/>
          <w:sz w:val="24"/>
          <w:szCs w:val="24"/>
          <w:highlight w:val="none"/>
          <w14:textFill>
            <w14:solidFill>
              <w14:schemeClr w14:val="tx1"/>
            </w14:solidFill>
          </w14:textFill>
        </w:rPr>
        <w:t>响应</w:t>
      </w:r>
      <w:r>
        <w:rPr>
          <w:rFonts w:hint="eastAsia" w:ascii="宋体" w:hAnsi="宋体" w:eastAsia="宋体" w:cs="宋体"/>
          <w:b/>
          <w:color w:val="000000" w:themeColor="text1"/>
          <w:sz w:val="24"/>
          <w:szCs w:val="24"/>
          <w:highlight w:val="none"/>
          <w:lang w:val="en-GB"/>
          <w14:textFill>
            <w14:solidFill>
              <w14:schemeClr w14:val="tx1"/>
            </w14:solidFill>
          </w14:textFill>
        </w:rPr>
        <w:t>文件的顺序</w:t>
      </w:r>
      <w:r>
        <w:rPr>
          <w:rFonts w:hint="eastAsia" w:ascii="宋体" w:hAnsi="宋体" w:eastAsia="宋体" w:cs="宋体"/>
          <w:b/>
          <w:color w:val="000000" w:themeColor="text1"/>
          <w:sz w:val="24"/>
          <w:szCs w:val="24"/>
          <w:highlight w:val="none"/>
          <w14:textFill>
            <w14:solidFill>
              <w14:schemeClr w14:val="tx1"/>
            </w14:solidFill>
          </w14:textFill>
        </w:rPr>
        <w:t>拆封并公开报价。</w:t>
      </w:r>
    </w:p>
    <w:p>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rPr>
        <w:t>. 成立询价小组</w:t>
      </w:r>
    </w:p>
    <w:p>
      <w:pPr>
        <w:spacing w:line="440" w:lineRule="exact"/>
        <w:ind w:left="540" w:hanging="540" w:hangingChars="225"/>
        <w:rPr>
          <w:rFonts w:hint="eastAsia" w:ascii="宋体" w:hAnsi="宋体" w:eastAsia="宋体" w:cs="宋体"/>
          <w:color w:val="auto"/>
          <w:sz w:val="24"/>
          <w:szCs w:val="24"/>
          <w:highlight w:val="none"/>
          <w:lang w:val="en-GB"/>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.1 在</w:t>
      </w:r>
      <w:r>
        <w:rPr>
          <w:rFonts w:hint="eastAsia" w:ascii="宋体" w:hAnsi="宋体" w:eastAsia="宋体" w:cs="宋体"/>
          <w:color w:val="auto"/>
          <w:sz w:val="24"/>
          <w:szCs w:val="24"/>
          <w:highlight w:val="none"/>
          <w:lang w:val="en-US" w:eastAsia="zh-CN"/>
        </w:rPr>
        <w:t>采购人</w:t>
      </w:r>
      <w:r>
        <w:rPr>
          <w:rFonts w:hint="eastAsia" w:ascii="宋体" w:hAnsi="宋体" w:cs="宋体"/>
          <w:color w:val="auto"/>
          <w:sz w:val="24"/>
          <w:szCs w:val="24"/>
          <w:highlight w:val="none"/>
          <w:lang w:val="en-US" w:eastAsia="zh-CN"/>
        </w:rPr>
        <w:t>单位内相关职能科室人员</w:t>
      </w:r>
      <w:r>
        <w:rPr>
          <w:rFonts w:hint="eastAsia" w:ascii="宋体" w:hAnsi="宋体" w:eastAsia="宋体" w:cs="宋体"/>
          <w:color w:val="auto"/>
          <w:sz w:val="24"/>
          <w:szCs w:val="24"/>
          <w:highlight w:val="none"/>
        </w:rPr>
        <w:t>，依法成立询价小组。评审</w:t>
      </w:r>
      <w:r>
        <w:rPr>
          <w:rFonts w:hint="eastAsia" w:ascii="宋体" w:hAnsi="宋体" w:eastAsia="宋体" w:cs="宋体"/>
          <w:color w:val="auto"/>
          <w:sz w:val="24"/>
          <w:szCs w:val="24"/>
          <w:highlight w:val="none"/>
          <w:lang w:val="en-GB"/>
        </w:rPr>
        <w:t>工作由询价小组负责。</w:t>
      </w:r>
    </w:p>
    <w:p>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13</w:t>
      </w:r>
      <w:r>
        <w:rPr>
          <w:rFonts w:hint="eastAsia" w:ascii="宋体" w:hAnsi="宋体" w:eastAsia="宋体" w:cs="宋体"/>
          <w:b/>
          <w:color w:val="auto"/>
          <w:sz w:val="24"/>
          <w:szCs w:val="24"/>
          <w:highlight w:val="none"/>
        </w:rPr>
        <w:t>. 终止询价采购活动的情形</w:t>
      </w:r>
    </w:p>
    <w:p>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.1出现下列情形之一的，终止询价采购活动</w:t>
      </w:r>
    </w:p>
    <w:p>
      <w:pPr>
        <w:spacing w:line="440" w:lineRule="exact"/>
        <w:ind w:left="479" w:leftChars="171" w:hanging="120" w:hanging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（1）因情况变化，不再符合规定的询价采购方式适用情形的；</w:t>
      </w:r>
    </w:p>
    <w:p>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（2）出现影响采购公正的违法、违规行为的；</w:t>
      </w:r>
    </w:p>
    <w:p>
      <w:pPr>
        <w:spacing w:line="440" w:lineRule="exact"/>
        <w:ind w:left="480" w:hanging="480" w:hanging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Cs/>
          <w:color w:val="auto"/>
          <w:sz w:val="24"/>
          <w:szCs w:val="24"/>
          <w:highlight w:val="none"/>
        </w:rPr>
        <w:t>　　（3）在采购过程中符合竞争要求的供应商或者报价未超过采购预算的供应商不足3家的。</w:t>
      </w:r>
      <w:bookmarkEnd w:id="23"/>
      <w:bookmarkEnd w:id="24"/>
      <w:bookmarkStart w:id="25" w:name="_Toc372275496"/>
    </w:p>
    <w:p>
      <w:pPr>
        <w:pStyle w:val="3"/>
        <w:spacing w:before="0" w:after="0" w:line="460" w:lineRule="exact"/>
        <w:ind w:firstLine="2108" w:firstLineChars="750"/>
        <w:jc w:val="left"/>
        <w:rPr>
          <w:rFonts w:hint="eastAsia" w:ascii="宋体" w:hAnsi="宋体" w:eastAsia="宋体" w:cs="宋体"/>
          <w:color w:val="auto"/>
          <w:sz w:val="28"/>
          <w:szCs w:val="28"/>
          <w:highlight w:val="none"/>
        </w:rPr>
      </w:pPr>
      <w:bookmarkStart w:id="26" w:name="_Toc28758"/>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w:t>
      </w:r>
      <w:bookmarkEnd w:id="25"/>
      <w:r>
        <w:rPr>
          <w:rFonts w:hint="eastAsia" w:ascii="宋体" w:hAnsi="宋体" w:eastAsia="宋体" w:cs="宋体"/>
          <w:color w:val="auto"/>
          <w:sz w:val="28"/>
          <w:szCs w:val="28"/>
          <w:highlight w:val="none"/>
        </w:rPr>
        <w:t>推荐成交候选供应商、确定成交供应商</w:t>
      </w:r>
      <w:bookmarkEnd w:id="26"/>
    </w:p>
    <w:p>
      <w:pPr>
        <w:spacing w:line="360" w:lineRule="auto"/>
        <w:rPr>
          <w:rFonts w:hint="eastAsia" w:ascii="宋体" w:hAnsi="宋体" w:eastAsia="宋体" w:cs="宋体"/>
          <w:b/>
          <w:color w:val="auto"/>
          <w:sz w:val="24"/>
          <w:szCs w:val="24"/>
          <w:highlight w:val="none"/>
        </w:rPr>
      </w:pPr>
      <w:bookmarkStart w:id="27" w:name="_Toc463859525"/>
      <w:bookmarkStart w:id="28" w:name="_Toc376848254"/>
      <w:bookmarkStart w:id="29" w:name="_Toc286758340"/>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 推荐成交候选供应商</w:t>
      </w:r>
    </w:p>
    <w:p>
      <w:pPr>
        <w:spacing w:line="360" w:lineRule="auto"/>
        <w:ind w:left="480" w:hanging="480" w:hangingChars="200"/>
        <w:rPr>
          <w:rFonts w:hint="eastAsia" w:ascii="宋体" w:hAnsi="宋体" w:eastAsia="宋体" w:cs="宋体"/>
          <w:b/>
          <w:color w:val="auto"/>
          <w:sz w:val="32"/>
          <w:szCs w:val="32"/>
          <w:highlight w:val="none"/>
        </w:rPr>
      </w:pP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.1询价小组应当从质量和服务均能满足采购文件实质性响应要求的供应商中，按照报价由低到高的顺序提出3名以上成交候选人。</w:t>
      </w:r>
      <w:bookmarkEnd w:id="13"/>
      <w:bookmarkEnd w:id="27"/>
      <w:bookmarkEnd w:id="28"/>
      <w:bookmarkEnd w:id="29"/>
      <w:bookmarkStart w:id="30" w:name="_Toc30905"/>
      <w:bookmarkStart w:id="31" w:name="_Toc225565935"/>
    </w:p>
    <w:bookmarkEnd w:id="30"/>
    <w:bookmarkEnd w:id="31"/>
    <w:p>
      <w:pPr>
        <w:jc w:val="both"/>
        <w:rPr>
          <w:rFonts w:hint="eastAsia" w:ascii="宋体" w:hAnsi="宋体" w:eastAsia="宋体" w:cs="宋体"/>
          <w:color w:val="auto"/>
          <w:sz w:val="24"/>
          <w:highlight w:val="none"/>
        </w:rPr>
      </w:pPr>
    </w:p>
    <w:p>
      <w:pPr>
        <w:pStyle w:val="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章  响应文件格式</w:t>
      </w:r>
    </w:p>
    <w:p>
      <w:pPr>
        <w:jc w:val="center"/>
        <w:rPr>
          <w:rFonts w:hint="eastAsia" w:ascii="宋体" w:hAnsi="宋体" w:eastAsia="宋体" w:cs="宋体"/>
          <w:color w:val="auto"/>
          <w:sz w:val="24"/>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询价响应文件</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项目名称： </w:t>
      </w:r>
      <w:r>
        <w:rPr>
          <w:rFonts w:hint="eastAsia" w:ascii="宋体" w:hAnsi="宋体" w:eastAsia="宋体" w:cs="宋体"/>
          <w:color w:val="auto"/>
          <w:sz w:val="28"/>
          <w:highlight w:val="none"/>
          <w:u w:val="single"/>
        </w:rPr>
        <w:t xml:space="preserve">                        </w:t>
      </w: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w:t>
      </w: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单位（公章）</w:t>
      </w:r>
    </w:p>
    <w:p>
      <w:pPr>
        <w:jc w:val="center"/>
        <w:rPr>
          <w:rFonts w:hint="eastAsia" w:ascii="宋体" w:hAnsi="宋体" w:eastAsia="宋体" w:cs="宋体"/>
          <w:color w:val="auto"/>
          <w:sz w:val="28"/>
          <w:highlight w:val="none"/>
        </w:rPr>
      </w:pPr>
    </w:p>
    <w:p>
      <w:pPr>
        <w:jc w:val="center"/>
        <w:rPr>
          <w:rFonts w:hint="eastAsia" w:ascii="宋体" w:hAnsi="宋体" w:eastAsia="宋体" w:cs="宋体"/>
          <w:color w:val="auto"/>
          <w:w w:val="80"/>
          <w:sz w:val="36"/>
          <w:highlight w:val="none"/>
        </w:rPr>
        <w:sectPr>
          <w:headerReference r:id="rId3" w:type="default"/>
          <w:footerReference r:id="rId4" w:type="default"/>
          <w:pgSz w:w="11907" w:h="16840"/>
          <w:pgMar w:top="1474" w:right="1134" w:bottom="1474" w:left="1134" w:header="720" w:footer="720" w:gutter="0"/>
          <w:pgNumType w:start="1"/>
          <w:cols w:space="720" w:num="1"/>
          <w:docGrid w:linePitch="285" w:charSpace="0"/>
        </w:sectPr>
      </w:pPr>
      <w:r>
        <w:rPr>
          <w:rFonts w:hint="eastAsia" w:ascii="宋体" w:hAnsi="宋体" w:eastAsia="宋体" w:cs="宋体"/>
          <w:color w:val="auto"/>
          <w:sz w:val="28"/>
          <w:highlight w:val="none"/>
        </w:rPr>
        <w:t xml:space="preserve">    年   月   日</w:t>
      </w:r>
    </w:p>
    <w:p>
      <w:pPr>
        <w:pStyle w:val="2"/>
        <w:ind w:firstLine="3534" w:firstLineChars="1100"/>
        <w:jc w:val="both"/>
        <w:rPr>
          <w:rFonts w:hint="eastAsia" w:ascii="宋体" w:hAnsi="宋体" w:eastAsia="宋体" w:cs="宋体"/>
          <w:b/>
          <w:bCs/>
          <w:color w:val="auto"/>
          <w:sz w:val="32"/>
          <w:highlight w:val="none"/>
        </w:rPr>
      </w:pPr>
      <w:bookmarkStart w:id="32" w:name="_Toc262628654"/>
      <w:bookmarkStart w:id="33" w:name="_Toc6949"/>
      <w:r>
        <w:rPr>
          <w:rFonts w:hint="eastAsia" w:ascii="宋体" w:hAnsi="宋体" w:eastAsia="宋体" w:cs="宋体"/>
          <w:b/>
          <w:bCs/>
          <w:color w:val="auto"/>
          <w:sz w:val="32"/>
          <w:highlight w:val="none"/>
        </w:rPr>
        <w:t>1.询价响应</w:t>
      </w:r>
      <w:bookmarkEnd w:id="32"/>
      <w:r>
        <w:rPr>
          <w:rFonts w:hint="eastAsia" w:ascii="宋体" w:hAnsi="宋体" w:eastAsia="宋体" w:cs="宋体"/>
          <w:b/>
          <w:bCs/>
          <w:color w:val="auto"/>
          <w:sz w:val="32"/>
          <w:highlight w:val="none"/>
        </w:rPr>
        <w:t>书</w:t>
      </w:r>
      <w:bookmarkEnd w:id="33"/>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szCs w:val="24"/>
          <w:highlight w:val="none"/>
        </w:rPr>
        <w:t>上饶市广丰区中医院</w:t>
      </w:r>
    </w:p>
    <w:p>
      <w:pPr>
        <w:spacing w:line="4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)项目询价</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相关服务的询价邀请，签字代表(</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)经正式授权并代表我方</w:t>
      </w:r>
      <w:r>
        <w:rPr>
          <w:rFonts w:hint="eastAsia" w:ascii="宋体" w:hAnsi="宋体" w:eastAsia="宋体" w:cs="宋体"/>
          <w:color w:val="auto"/>
          <w:sz w:val="24"/>
          <w:highlight w:val="none"/>
          <w:u w:val="single"/>
        </w:rPr>
        <w:t>(单位名称、地址)</w:t>
      </w:r>
      <w:r>
        <w:rPr>
          <w:rFonts w:hint="eastAsia" w:ascii="宋体" w:hAnsi="宋体" w:eastAsia="宋体" w:cs="宋体"/>
          <w:color w:val="auto"/>
          <w:sz w:val="24"/>
          <w:highlight w:val="none"/>
        </w:rPr>
        <w:t>提交下述文件正本一份及副本</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份:</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书</w:t>
      </w:r>
    </w:p>
    <w:p>
      <w:pPr>
        <w:spacing w:line="400" w:lineRule="exact"/>
        <w:ind w:left="707" w:hanging="28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报价表</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响应/偏离表</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、商务条件响应/偏离表</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应当提交的资格、资信证明文件</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 所附报价表中规定的应提供的服务总报价为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2. 我方将按询价通知书的规定履行合同责任和义务。</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我方已详细审查全部询价通知书，包括第</w:t>
      </w:r>
      <w:r>
        <w:rPr>
          <w:rFonts w:hint="eastAsia" w:ascii="宋体" w:hAnsi="宋体" w:eastAsia="宋体" w:cs="宋体"/>
          <w:color w:val="auto"/>
          <w:sz w:val="24"/>
          <w:highlight w:val="none"/>
          <w:u w:val="single"/>
        </w:rPr>
        <w:t>(编号、补遗函)(如果有的话)。</w:t>
      </w:r>
      <w:r>
        <w:rPr>
          <w:rFonts w:hint="eastAsia" w:ascii="宋体" w:hAnsi="宋体" w:eastAsia="宋体" w:cs="宋体"/>
          <w:color w:val="auto"/>
          <w:sz w:val="24"/>
          <w:highlight w:val="none"/>
        </w:rPr>
        <w:t>我们完全理解并同意放弃对这方面有不明及误解的权力。</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4. 本询价有效期为自询价之日起</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5. 如果在规定的询价时间后，我方在询价有效期内撤回响应文件，询价保证金将不予退还。</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6. 我方同意提供按照贵方可能要求的与其询价有关的一切数据或资料。</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7. 与本询价有关的一切正式往来信函请寄:</w:t>
      </w:r>
    </w:p>
    <w:p>
      <w:pPr>
        <w:spacing w:line="432" w:lineRule="auto"/>
        <w:rPr>
          <w:rFonts w:hint="eastAsia" w:ascii="宋体" w:hAnsi="宋体" w:eastAsia="宋体" w:cs="宋体"/>
          <w:color w:val="auto"/>
          <w:sz w:val="24"/>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432" w:lineRule="auto"/>
        <w:jc w:val="center"/>
        <w:rPr>
          <w:rFonts w:hint="eastAsia" w:ascii="宋体" w:hAnsi="宋体" w:eastAsia="宋体" w:cs="宋体"/>
          <w:color w:val="auto"/>
          <w:sz w:val="28"/>
          <w:highlight w:val="none"/>
        </w:rPr>
        <w:sectPr>
          <w:headerReference r:id="rId5" w:type="default"/>
          <w:footerReference r:id="rId6" w:type="default"/>
          <w:pgSz w:w="11907" w:h="16840"/>
          <w:pgMar w:top="1474" w:right="1134" w:bottom="1474" w:left="1134" w:header="720" w:footer="720" w:gutter="0"/>
          <w:cols w:space="720" w:num="1"/>
          <w:docGrid w:linePitch="285" w:charSpace="0"/>
        </w:sectPr>
      </w:pPr>
    </w:p>
    <w:p>
      <w:pPr>
        <w:pStyle w:val="2"/>
        <w:jc w:val="center"/>
        <w:rPr>
          <w:rFonts w:hint="eastAsia" w:ascii="宋体" w:hAnsi="宋体" w:eastAsia="宋体" w:cs="宋体"/>
          <w:b/>
          <w:bCs/>
          <w:color w:val="auto"/>
          <w:sz w:val="32"/>
          <w:highlight w:val="none"/>
        </w:rPr>
      </w:pPr>
      <w:bookmarkStart w:id="34" w:name="_Toc223948599"/>
      <w:bookmarkStart w:id="35" w:name="_Toc17340"/>
      <w:bookmarkStart w:id="36" w:name="_Toc225565937"/>
      <w:r>
        <w:rPr>
          <w:rFonts w:hint="eastAsia" w:ascii="宋体" w:hAnsi="宋体" w:eastAsia="宋体" w:cs="宋体"/>
          <w:b/>
          <w:bCs/>
          <w:color w:val="auto"/>
          <w:sz w:val="32"/>
          <w:highlight w:val="none"/>
        </w:rPr>
        <w:t>2. 报 价 表</w:t>
      </w:r>
      <w:bookmarkEnd w:id="34"/>
      <w:bookmarkEnd w:id="35"/>
      <w:bookmarkEnd w:id="36"/>
    </w:p>
    <w:p>
      <w:pPr>
        <w:spacing w:line="120" w:lineRule="auto"/>
        <w:rPr>
          <w:rFonts w:hint="eastAsia" w:ascii="宋体" w:hAnsi="宋体" w:eastAsia="宋体" w:cs="宋体"/>
          <w:color w:val="auto"/>
          <w:sz w:val="28"/>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                                                       </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685"/>
        <w:gridCol w:w="1611"/>
        <w:gridCol w:w="1382"/>
        <w:gridCol w:w="685"/>
        <w:gridCol w:w="646"/>
        <w:gridCol w:w="1314"/>
        <w:gridCol w:w="1393"/>
        <w:gridCol w:w="6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2" w:hRule="exact"/>
        </w:trPr>
        <w:tc>
          <w:tcPr>
            <w:tcW w:w="685" w:type="dxa"/>
            <w:tcBorders>
              <w:top w:val="single" w:color="auto" w:sz="1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685" w:type="dxa"/>
            <w:tcBorders>
              <w:top w:val="single" w:color="auto" w:sz="12" w:space="0"/>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611" w:type="dxa"/>
            <w:tcBorders>
              <w:top w:val="single" w:color="auto" w:sz="1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制造商、品牌</w:t>
            </w:r>
          </w:p>
        </w:tc>
        <w:tc>
          <w:tcPr>
            <w:tcW w:w="1382" w:type="dxa"/>
            <w:tcBorders>
              <w:top w:val="single" w:color="auto" w:sz="12" w:space="0"/>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规格、型号</w:t>
            </w:r>
          </w:p>
        </w:tc>
        <w:tc>
          <w:tcPr>
            <w:tcW w:w="685" w:type="dxa"/>
            <w:tcBorders>
              <w:top w:val="single" w:color="auto" w:sz="12"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产地</w:t>
            </w:r>
          </w:p>
        </w:tc>
        <w:tc>
          <w:tcPr>
            <w:tcW w:w="646" w:type="dxa"/>
            <w:tcBorders>
              <w:top w:val="single" w:color="auto" w:sz="1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314" w:type="dxa"/>
            <w:tcBorders>
              <w:top w:val="single" w:color="auto" w:sz="12" w:space="0"/>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1393" w:type="dxa"/>
            <w:tcBorders>
              <w:top w:val="single" w:color="auto" w:sz="12" w:space="0"/>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总价（元）</w:t>
            </w:r>
          </w:p>
        </w:tc>
        <w:tc>
          <w:tcPr>
            <w:tcW w:w="685" w:type="dxa"/>
            <w:tcBorders>
              <w:top w:val="single" w:color="auto" w:sz="12" w:space="0"/>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exact"/>
        </w:trPr>
        <w:tc>
          <w:tcPr>
            <w:tcW w:w="685"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85"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685"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48" w:type="dxa"/>
            <w:gridSpan w:val="5"/>
            <w:tcBorders>
              <w:top w:val="single" w:color="auto" w:sz="4" w:space="0"/>
              <w:bottom w:val="single" w:color="auto" w:sz="12" w:space="0"/>
              <w:right w:val="single" w:color="auto" w:sz="4" w:space="0"/>
            </w:tcBorders>
            <w:vAlign w:val="center"/>
          </w:tcPr>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     计：（大写）</w:t>
            </w:r>
          </w:p>
        </w:tc>
        <w:tc>
          <w:tcPr>
            <w:tcW w:w="4038" w:type="dxa"/>
            <w:gridSpan w:val="4"/>
            <w:tcBorders>
              <w:top w:val="single" w:color="auto" w:sz="4" w:space="0"/>
              <w:left w:val="single" w:color="auto" w:sz="4" w:space="0"/>
              <w:bottom w:val="single" w:color="auto" w:sz="12" w:space="0"/>
              <w:right w:val="single" w:color="auto" w:sz="4" w:space="0"/>
            </w:tcBorders>
          </w:tcPr>
          <w:p>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（小写）</w:t>
            </w:r>
          </w:p>
        </w:tc>
      </w:tr>
    </w:tbl>
    <w:p>
      <w:pPr>
        <w:spacing w:line="432" w:lineRule="auto"/>
        <w:rPr>
          <w:rFonts w:hint="eastAsia" w:ascii="宋体" w:hAnsi="宋体" w:eastAsia="宋体" w:cs="宋体"/>
          <w:color w:val="auto"/>
          <w:sz w:val="24"/>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pPr>
        <w:pStyle w:val="3"/>
        <w:spacing w:before="0" w:after="0" w:line="460" w:lineRule="exact"/>
        <w:jc w:val="center"/>
        <w:rPr>
          <w:rFonts w:hint="eastAsia" w:ascii="宋体" w:hAnsi="宋体" w:eastAsia="宋体" w:cs="宋体"/>
          <w:color w:val="auto"/>
          <w:highlight w:val="none"/>
        </w:rPr>
      </w:pPr>
      <w:bookmarkStart w:id="37" w:name="_Toc223948602"/>
      <w:bookmarkStart w:id="38" w:name="_Toc225565940"/>
    </w:p>
    <w:p>
      <w:pPr>
        <w:rPr>
          <w:rFonts w:hint="eastAsia" w:ascii="宋体" w:hAnsi="宋体" w:eastAsia="宋体" w:cs="宋体"/>
          <w:highlight w:val="none"/>
        </w:rPr>
      </w:pPr>
    </w:p>
    <w:p>
      <w:pPr>
        <w:pStyle w:val="3"/>
        <w:spacing w:before="0" w:after="0" w:line="460" w:lineRule="exact"/>
        <w:jc w:val="center"/>
        <w:rPr>
          <w:rFonts w:hint="eastAsia" w:ascii="宋体" w:hAnsi="宋体" w:eastAsia="宋体" w:cs="宋体"/>
          <w:color w:val="auto"/>
          <w:highlight w:val="none"/>
        </w:rPr>
      </w:pPr>
    </w:p>
    <w:p>
      <w:pPr>
        <w:pStyle w:val="3"/>
        <w:spacing w:before="0" w:after="0" w:line="460" w:lineRule="exact"/>
        <w:jc w:val="center"/>
        <w:rPr>
          <w:rFonts w:hint="eastAsia" w:ascii="宋体" w:hAnsi="宋体" w:eastAsia="宋体" w:cs="宋体"/>
          <w:color w:val="auto"/>
          <w:highlight w:val="none"/>
        </w:rPr>
      </w:pPr>
    </w:p>
    <w:p>
      <w:pPr>
        <w:pStyle w:val="3"/>
        <w:spacing w:before="0" w:after="0" w:line="460" w:lineRule="exact"/>
        <w:jc w:val="center"/>
        <w:rPr>
          <w:rFonts w:hint="eastAsia" w:ascii="宋体" w:hAnsi="宋体" w:eastAsia="宋体" w:cs="宋体"/>
          <w:color w:val="auto"/>
          <w:highlight w:val="none"/>
        </w:rPr>
      </w:pPr>
    </w:p>
    <w:p>
      <w:pPr>
        <w:pStyle w:val="3"/>
        <w:spacing w:before="0" w:after="0" w:line="460" w:lineRule="exact"/>
        <w:jc w:val="center"/>
        <w:rPr>
          <w:rFonts w:hint="eastAsia" w:ascii="宋体" w:hAnsi="宋体" w:eastAsia="宋体" w:cs="宋体"/>
          <w:color w:val="auto"/>
          <w:highlight w:val="none"/>
        </w:rPr>
      </w:pPr>
    </w:p>
    <w:p>
      <w:pPr>
        <w:pStyle w:val="3"/>
        <w:spacing w:before="0" w:after="0" w:line="460" w:lineRule="exact"/>
        <w:jc w:val="center"/>
        <w:rPr>
          <w:rFonts w:hint="eastAsia" w:ascii="宋体" w:hAnsi="宋体" w:eastAsia="宋体" w:cs="宋体"/>
          <w:color w:val="auto"/>
          <w:highlight w:val="none"/>
        </w:rPr>
      </w:pPr>
    </w:p>
    <w:p>
      <w:pPr>
        <w:pStyle w:val="3"/>
        <w:spacing w:before="0" w:after="0" w:line="460" w:lineRule="exact"/>
        <w:jc w:val="center"/>
        <w:rPr>
          <w:rFonts w:hint="eastAsia" w:ascii="宋体" w:hAnsi="宋体" w:eastAsia="宋体" w:cs="宋体"/>
          <w:color w:val="auto"/>
          <w:highlight w:val="none"/>
        </w:rPr>
      </w:pPr>
    </w:p>
    <w:p>
      <w:pPr>
        <w:rPr>
          <w:rFonts w:hint="eastAsia" w:ascii="宋体" w:hAnsi="宋体" w:eastAsia="宋体" w:cs="宋体"/>
          <w:highlight w:val="none"/>
        </w:rPr>
      </w:pPr>
    </w:p>
    <w:p>
      <w:pPr>
        <w:pStyle w:val="3"/>
        <w:spacing w:before="0" w:after="0" w:line="460" w:lineRule="exact"/>
        <w:jc w:val="center"/>
        <w:rPr>
          <w:rFonts w:hint="eastAsia" w:ascii="宋体" w:hAnsi="宋体" w:eastAsia="宋体" w:cs="宋体"/>
          <w:color w:val="auto"/>
          <w:highlight w:val="none"/>
          <w:lang w:val="en-US" w:eastAsia="zh-CN"/>
        </w:rPr>
      </w:pPr>
      <w:bookmarkStart w:id="39" w:name="_Toc11349"/>
    </w:p>
    <w:p>
      <w:pPr>
        <w:pStyle w:val="3"/>
        <w:spacing w:before="0" w:after="0" w:line="460" w:lineRule="exact"/>
        <w:jc w:val="cente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
        <w:rPr>
          <w:rFonts w:hint="eastAsia"/>
          <w:lang w:val="en-US" w:eastAsia="zh-CN"/>
        </w:rPr>
      </w:pPr>
    </w:p>
    <w:p>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w:t>
      </w:r>
      <w:bookmarkEnd w:id="37"/>
      <w:bookmarkEnd w:id="38"/>
      <w:r>
        <w:rPr>
          <w:rFonts w:hint="eastAsia" w:ascii="宋体" w:hAnsi="宋体" w:eastAsia="宋体" w:cs="宋体"/>
          <w:color w:val="auto"/>
          <w:highlight w:val="none"/>
          <w:lang w:val="en-US" w:eastAsia="zh-CN"/>
        </w:rPr>
        <w:t>技术需求</w:t>
      </w:r>
      <w:r>
        <w:rPr>
          <w:rFonts w:hint="eastAsia" w:ascii="宋体" w:hAnsi="宋体" w:eastAsia="宋体" w:cs="宋体"/>
          <w:color w:val="auto"/>
          <w:highlight w:val="none"/>
        </w:rPr>
        <w:t>响应/偏离表</w:t>
      </w:r>
      <w:bookmarkEnd w:id="39"/>
    </w:p>
    <w:p>
      <w:pPr>
        <w:spacing w:line="432" w:lineRule="auto"/>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998"/>
        <w:gridCol w:w="2694"/>
        <w:gridCol w:w="163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998"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w:t>
            </w:r>
            <w:r>
              <w:rPr>
                <w:rFonts w:hint="eastAsia" w:ascii="宋体" w:hAnsi="宋体" w:cs="宋体"/>
                <w:color w:val="auto"/>
                <w:sz w:val="24"/>
                <w:highlight w:val="none"/>
                <w:lang w:val="en-US" w:eastAsia="zh-CN"/>
              </w:rPr>
              <w:t>技术需求</w:t>
            </w:r>
          </w:p>
        </w:tc>
        <w:tc>
          <w:tcPr>
            <w:tcW w:w="2694"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w:t>
            </w:r>
            <w:r>
              <w:rPr>
                <w:rFonts w:hint="eastAsia" w:ascii="宋体" w:hAnsi="宋体" w:cs="宋体"/>
                <w:color w:val="auto"/>
                <w:sz w:val="24"/>
                <w:highlight w:val="none"/>
                <w:lang w:val="en-US" w:eastAsia="zh-CN"/>
              </w:rPr>
              <w:t>技术需求</w:t>
            </w:r>
          </w:p>
        </w:tc>
        <w:tc>
          <w:tcPr>
            <w:tcW w:w="1635"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c>
          <w:tcPr>
            <w:tcW w:w="878"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c>
          <w:tcPr>
            <w:tcW w:w="878"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c>
          <w:tcPr>
            <w:tcW w:w="878"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c>
          <w:tcPr>
            <w:tcW w:w="878"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c>
          <w:tcPr>
            <w:tcW w:w="878"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c>
          <w:tcPr>
            <w:tcW w:w="878"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c>
          <w:tcPr>
            <w:tcW w:w="878"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c>
          <w:tcPr>
            <w:tcW w:w="878" w:type="dxa"/>
          </w:tcPr>
          <w:p>
            <w:pPr>
              <w:spacing w:line="400" w:lineRule="exact"/>
              <w:rPr>
                <w:rFonts w:hint="eastAsia" w:ascii="宋体" w:hAnsi="宋体" w:eastAsia="宋体" w:cs="宋体"/>
                <w:color w:val="auto"/>
                <w:sz w:val="24"/>
                <w:highlight w:val="none"/>
              </w:rPr>
            </w:pPr>
          </w:p>
        </w:tc>
      </w:tr>
    </w:tbl>
    <w:p>
      <w:pPr>
        <w:spacing w:line="360" w:lineRule="exact"/>
        <w:rPr>
          <w:rFonts w:hint="eastAsia" w:ascii="宋体" w:hAnsi="宋体" w:eastAsia="宋体" w:cs="宋体"/>
          <w:b/>
          <w:color w:val="auto"/>
          <w:szCs w:val="21"/>
          <w:highlight w:val="none"/>
        </w:rPr>
      </w:pPr>
    </w:p>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spacing w:line="432" w:lineRule="auto"/>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p>
    <w:p>
      <w:pPr>
        <w:pStyle w:val="4"/>
        <w:spacing w:before="0" w:after="0" w:line="40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40" w:name="_Toc21922"/>
      <w:bookmarkStart w:id="41" w:name="_Toc225565941"/>
      <w:bookmarkStart w:id="42" w:name="_Toc223948603"/>
      <w:bookmarkStart w:id="43" w:name="_Toc218852678"/>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商务条款响应/偏离表</w:t>
      </w:r>
      <w:bookmarkEnd w:id="40"/>
      <w:bookmarkEnd w:id="41"/>
      <w:bookmarkEnd w:id="42"/>
      <w:bookmarkEnd w:id="43"/>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840"/>
        <w:gridCol w:w="2886"/>
        <w:gridCol w:w="969"/>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62"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840"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询价通知书的商务条款</w:t>
            </w:r>
          </w:p>
        </w:tc>
        <w:tc>
          <w:tcPr>
            <w:tcW w:w="2886"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w:t>
            </w:r>
          </w:p>
        </w:tc>
        <w:tc>
          <w:tcPr>
            <w:tcW w:w="969"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c>
          <w:tcPr>
            <w:tcW w:w="1425"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c>
          <w:tcPr>
            <w:tcW w:w="142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c>
          <w:tcPr>
            <w:tcW w:w="142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c>
          <w:tcPr>
            <w:tcW w:w="142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c>
          <w:tcPr>
            <w:tcW w:w="142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c>
          <w:tcPr>
            <w:tcW w:w="142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c>
          <w:tcPr>
            <w:tcW w:w="142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c>
          <w:tcPr>
            <w:tcW w:w="142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c>
          <w:tcPr>
            <w:tcW w:w="1425" w:type="dxa"/>
          </w:tcPr>
          <w:p>
            <w:pPr>
              <w:spacing w:line="400" w:lineRule="exact"/>
              <w:rPr>
                <w:rFonts w:hint="eastAsia" w:ascii="宋体" w:hAnsi="宋体" w:eastAsia="宋体" w:cs="宋体"/>
                <w:color w:val="auto"/>
                <w:sz w:val="24"/>
                <w:highlight w:val="none"/>
              </w:rPr>
            </w:pPr>
          </w:p>
        </w:tc>
      </w:tr>
    </w:tbl>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spacing w:line="432" w:lineRule="auto"/>
        <w:rPr>
          <w:rFonts w:hint="eastAsia" w:ascii="宋体" w:hAnsi="宋体" w:eastAsia="宋体" w:cs="宋体"/>
          <w:color w:val="auto"/>
          <w:sz w:val="24"/>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3"/>
        <w:spacing w:before="0" w:after="0" w:line="460" w:lineRule="exact"/>
        <w:jc w:val="center"/>
        <w:rPr>
          <w:rFonts w:hint="eastAsia" w:ascii="宋体" w:hAnsi="宋体" w:eastAsia="宋体" w:cs="宋体"/>
          <w:color w:val="auto"/>
          <w:highlight w:val="none"/>
        </w:rPr>
      </w:pPr>
      <w:bookmarkStart w:id="44" w:name="_Toc377477463"/>
      <w:bookmarkStart w:id="45" w:name="_Toc287002519"/>
      <w:bookmarkStart w:id="46" w:name="_Toc225565942"/>
      <w:bookmarkStart w:id="47" w:name="_Toc223948604"/>
    </w:p>
    <w:p>
      <w:pPr>
        <w:rPr>
          <w:rFonts w:hint="eastAsia" w:ascii="宋体" w:hAnsi="宋体" w:eastAsia="宋体" w:cs="宋体"/>
          <w:highlight w:val="none"/>
        </w:rPr>
      </w:pPr>
    </w:p>
    <w:p>
      <w:pPr>
        <w:rPr>
          <w:rFonts w:hint="eastAsia" w:ascii="宋体" w:hAnsi="宋体" w:eastAsia="宋体" w:cs="宋体"/>
          <w:color w:val="auto"/>
          <w:highlight w:val="none"/>
        </w:rPr>
      </w:pPr>
    </w:p>
    <w:bookmarkEnd w:id="44"/>
    <w:p>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bookmarkEnd w:id="45"/>
    <w:p>
      <w:pPr>
        <w:rPr>
          <w:rFonts w:hint="eastAsia" w:ascii="宋体" w:hAnsi="宋体" w:eastAsia="宋体" w:cs="宋体"/>
          <w:color w:val="auto"/>
          <w:highlight w:val="none"/>
        </w:rPr>
      </w:pPr>
    </w:p>
    <w:bookmarkEnd w:id="46"/>
    <w:bookmarkEnd w:id="47"/>
    <w:p>
      <w:pPr>
        <w:pStyle w:val="3"/>
        <w:spacing w:before="0" w:after="0" w:line="460" w:lineRule="exact"/>
        <w:jc w:val="center"/>
        <w:rPr>
          <w:rFonts w:hint="eastAsia" w:ascii="宋体" w:hAnsi="宋体" w:eastAsia="宋体" w:cs="宋体"/>
          <w:color w:val="auto"/>
          <w:highlight w:val="none"/>
        </w:rPr>
      </w:pPr>
      <w:bookmarkStart w:id="48" w:name="_Toc332035392"/>
      <w:bookmarkStart w:id="49" w:name="_Toc339545659"/>
      <w:bookmarkStart w:id="50" w:name="_Toc286760785"/>
      <w:bookmarkStart w:id="51" w:name="_Toc5805"/>
      <w:bookmarkStart w:id="52" w:name="_Toc225565943"/>
      <w:bookmarkStart w:id="53" w:name="_Toc223948605"/>
      <w:bookmarkStart w:id="54" w:name="_Toc218852684"/>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bookmarkEnd w:id="48"/>
      <w:bookmarkEnd w:id="49"/>
      <w:bookmarkEnd w:id="50"/>
      <w:r>
        <w:rPr>
          <w:rFonts w:hint="eastAsia" w:ascii="宋体" w:hAnsi="宋体" w:eastAsia="宋体" w:cs="宋体"/>
          <w:color w:val="auto"/>
          <w:sz w:val="30"/>
          <w:szCs w:val="30"/>
          <w:highlight w:val="none"/>
        </w:rPr>
        <w:t>供应商应当提交的资格、资信证明文件</w:t>
      </w:r>
      <w:bookmarkEnd w:id="51"/>
    </w:p>
    <w:p>
      <w:pPr>
        <w:spacing w:line="432"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bookmarkStart w:id="55" w:name="_Toc330310743"/>
      <w:bookmarkStart w:id="56" w:name="_Toc372555473"/>
      <w:bookmarkStart w:id="57" w:name="_Toc330278770"/>
      <w:r>
        <w:rPr>
          <w:rFonts w:hint="eastAsia" w:ascii="宋体" w:hAnsi="宋体" w:eastAsia="宋体" w:cs="宋体"/>
          <w:color w:val="auto"/>
          <w:sz w:val="24"/>
          <w:highlight w:val="none"/>
        </w:rPr>
        <w:t>填写须知</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供应商应填写和提交下述规定的资格证明文件。</w:t>
      </w:r>
      <w:r>
        <w:rPr>
          <w:rFonts w:hint="eastAsia" w:ascii="宋体" w:hAnsi="宋体" w:eastAsia="宋体" w:cs="宋体"/>
          <w:b/>
          <w:bCs/>
          <w:color w:val="auto"/>
          <w:sz w:val="24"/>
          <w:highlight w:val="none"/>
        </w:rPr>
        <w:t>复印件均</w:t>
      </w:r>
      <w:r>
        <w:rPr>
          <w:rFonts w:hint="eastAsia" w:ascii="宋体" w:hAnsi="宋体" w:eastAsia="宋体" w:cs="宋体"/>
          <w:color w:val="auto"/>
          <w:sz w:val="24"/>
          <w:highlight w:val="none"/>
        </w:rPr>
        <w:t>须加盖公章；</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所附格式中要求填写的全部内容都必须如实填写；</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本资格声明的签字人应保证全部声明和填写的内容是真实的和正确的；</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询价小组将应用供应商提交的资料，根据自己的判断和考虑决定供应商履行合同的合格性及能力。</w:t>
      </w:r>
    </w:p>
    <w:bookmarkEnd w:id="52"/>
    <w:bookmarkEnd w:id="53"/>
    <w:bookmarkEnd w:id="54"/>
    <w:bookmarkEnd w:id="55"/>
    <w:bookmarkEnd w:id="56"/>
    <w:bookmarkEnd w:id="57"/>
    <w:p>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color w:val="auto"/>
          <w:sz w:val="24"/>
          <w:szCs w:val="24"/>
          <w:highlight w:val="none"/>
        </w:rPr>
      </w:pPr>
      <w:bookmarkStart w:id="58" w:name="_Toc8794"/>
      <w:bookmarkStart w:id="59" w:name="_Toc21373"/>
      <w:bookmarkStart w:id="60" w:name="_Toc6577"/>
      <w:bookmarkStart w:id="61" w:name="_Toc13520"/>
      <w:bookmarkStart w:id="62" w:name="_Toc280799686"/>
      <w:bookmarkStart w:id="63" w:name="_Toc281296481"/>
      <w:bookmarkStart w:id="64" w:name="_Toc223948607"/>
      <w:bookmarkStart w:id="65" w:name="_Toc218852685"/>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-1具有独立承担民事责任的能力的资格证明文件</w:t>
      </w:r>
      <w:bookmarkEnd w:id="58"/>
      <w:bookmarkEnd w:id="59"/>
      <w:bookmarkEnd w:id="60"/>
    </w:p>
    <w:p>
      <w:pPr>
        <w:pageBreakBefore w:val="0"/>
        <w:widowControl w:val="0"/>
        <w:kinsoku/>
        <w:wordWrap/>
        <w:overflowPunct/>
        <w:topLinePunct w:val="0"/>
        <w:autoSpaceDE/>
        <w:autoSpaceDN/>
        <w:bidi w:val="0"/>
        <w:adjustRightInd/>
        <w:snapToGrid/>
        <w:spacing w:beforeLines="50" w:line="38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是企业的（包括合伙企业）应提供有效的“企业法人营业执照”或“营业执照”；如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是事业单位的应提供“事业单位法人证书”；如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是非企业专业服务机构的应提供执业许可证等证明文件；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是个体工商户的应提供有效的“个体工商户营业执照”、组织机构代码证证明文件（实行“统一社会信用代码”的不需单独提供组织机构代码证）；如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是自然人的，应提供有效的自然人的身份证明(中国公民)。 </w:t>
      </w:r>
    </w:p>
    <w:p>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6" w:name="_Toc25981"/>
      <w:bookmarkStart w:id="67" w:name="_Toc15107"/>
      <w:bookmarkStart w:id="68" w:name="_Toc29172"/>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bookmarkEnd w:id="66"/>
      <w:bookmarkEnd w:id="67"/>
      <w:bookmarkEnd w:id="68"/>
      <w:r>
        <w:rPr>
          <w:rFonts w:hint="eastAsia" w:asciiTheme="minorEastAsia" w:hAnsiTheme="minorEastAsia" w:eastAsiaTheme="minorEastAsia" w:cstheme="minorEastAsia"/>
          <w:color w:val="auto"/>
          <w:sz w:val="24"/>
          <w:szCs w:val="24"/>
          <w:highlight w:val="none"/>
        </w:rPr>
        <w:t>具有良好的商业信誉和健全的财务会计制度的证明文件</w:t>
      </w:r>
    </w:p>
    <w:p>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是法人的，提供开标前二个年度内任一年度经审计的财务状况报告，或在开标前三个月内其基本开户银行出具的资信证明；其他组织和自然人，没有经审计的财务报告，可以提供在开标前三个月内银行出具的资信证明；个体工商户提供开标前</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szCs w:val="24"/>
          <w:highlight w:val="none"/>
        </w:rPr>
        <w:t xml:space="preserve">个月中国人民银行征信中心开具个人信用报告。 </w:t>
      </w:r>
    </w:p>
    <w:p>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 具有履行合同所必须的设备和专业技术能力的证明文件</w:t>
      </w:r>
    </w:p>
    <w:p>
      <w:pPr>
        <w:pageBreakBefore w:val="0"/>
        <w:widowControl w:val="0"/>
        <w:kinsoku/>
        <w:wordWrap/>
        <w:overflowPunct/>
        <w:topLinePunct w:val="0"/>
        <w:autoSpaceDE/>
        <w:autoSpaceDN/>
        <w:bidi w:val="0"/>
        <w:adjustRightInd/>
        <w:snapToGrid/>
        <w:spacing w:line="380" w:lineRule="exact"/>
        <w:ind w:left="105" w:leftChars="5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提供具有履行合同所必须的设备和专业技术能力的承诺函；（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9" w:name="_Toc7835"/>
      <w:bookmarkStart w:id="70" w:name="_Toc21213"/>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 有依法缴纳税收和社会保障资金的良好记录的证明文件</w:t>
      </w:r>
      <w:bookmarkEnd w:id="69"/>
      <w:bookmarkEnd w:id="70"/>
    </w:p>
    <w:p>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税务登记证（实行“统一社会信用代码”的不需单独提供）和开标前六个月内任意一个月的企业缴税凭证或证明； </w:t>
      </w:r>
    </w:p>
    <w:p>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开标前六个月内任意一个月的缴纳社会保障资金的凭证或当地社会保障局出具的缴纳明细。依法免税或不需要缴纳社会保障资金的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，应当提供相关文件证明其依法免税或不需要缴纳社会保障资金。</w:t>
      </w:r>
    </w:p>
    <w:p>
      <w:pPr>
        <w:pStyle w:val="3"/>
        <w:pageBreakBefore w:val="0"/>
        <w:widowControl w:val="0"/>
        <w:kinsoku/>
        <w:wordWrap/>
        <w:overflowPunct/>
        <w:topLinePunct w:val="0"/>
        <w:autoSpaceDE/>
        <w:autoSpaceDN/>
        <w:bidi w:val="0"/>
        <w:adjustRightInd/>
        <w:snapToGrid/>
        <w:spacing w:after="0" w:line="380" w:lineRule="exact"/>
        <w:ind w:left="964" w:hanging="964" w:hangingChars="400"/>
        <w:textAlignment w:val="auto"/>
        <w:rPr>
          <w:rFonts w:hint="eastAsia" w:asciiTheme="minorEastAsia" w:hAnsiTheme="minorEastAsia" w:eastAsiaTheme="minorEastAsia" w:cstheme="minorEastAsia"/>
          <w:color w:val="auto"/>
          <w:sz w:val="24"/>
          <w:szCs w:val="24"/>
          <w:highlight w:val="none"/>
        </w:rPr>
      </w:pPr>
      <w:bookmarkStart w:id="71" w:name="_Toc17767"/>
      <w:bookmarkStart w:id="72" w:name="_Toc30333"/>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-5参加政府采购前三年内，在经营活动中没有重大违法记录的证明文件</w:t>
      </w:r>
      <w:bookmarkEnd w:id="71"/>
      <w:bookmarkEnd w:id="72"/>
    </w:p>
    <w:p>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参加政府采购前三年内,在经营活动中没有重大违法记录承诺函；（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宋体"/>
          <w:color w:val="auto"/>
          <w:sz w:val="24"/>
          <w:szCs w:val="24"/>
          <w:highlight w:val="none"/>
        </w:rPr>
      </w:pPr>
    </w:p>
    <w:p>
      <w:pPr>
        <w:pStyle w:val="3"/>
        <w:pageBreakBefore w:val="0"/>
        <w:widowControl w:val="0"/>
        <w:kinsoku/>
        <w:wordWrap/>
        <w:overflowPunct/>
        <w:topLinePunct w:val="0"/>
        <w:autoSpaceDE/>
        <w:autoSpaceDN/>
        <w:bidi w:val="0"/>
        <w:adjustRightInd/>
        <w:snapToGrid/>
        <w:spacing w:after="0" w:line="380" w:lineRule="exact"/>
        <w:ind w:left="0" w:leftChars="0" w:firstLine="482" w:firstLineChars="200"/>
        <w:textAlignment w:val="auto"/>
        <w:rPr>
          <w:rFonts w:hint="eastAsia" w:ascii="宋体" w:hAnsi="宋体" w:eastAsia="宋体" w:cs="宋体"/>
          <w:b/>
          <w:color w:val="auto"/>
          <w:sz w:val="24"/>
          <w:highlight w:val="none"/>
          <w:lang w:val="en-US" w:eastAsia="zh-CN"/>
        </w:rPr>
      </w:pPr>
      <w:bookmarkStart w:id="73" w:name="_Toc19795"/>
      <w:bookmarkStart w:id="74" w:name="_Toc10264"/>
      <w:r>
        <w:rPr>
          <w:rFonts w:hint="eastAsia" w:ascii="宋体" w:hAnsi="宋体" w:eastAsia="宋体" w:cs="宋体"/>
          <w:color w:val="auto"/>
          <w:sz w:val="24"/>
          <w:szCs w:val="24"/>
          <w:highlight w:val="none"/>
        </w:rPr>
        <w:t>重大违法记录，是指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因违法经营受到刑事处罚或者责令停产停业、吊销许可证或者执照、较大罚款等行政处罚。</w:t>
      </w:r>
      <w:bookmarkEnd w:id="73"/>
      <w:bookmarkEnd w:id="74"/>
    </w:p>
    <w:bookmarkEnd w:id="61"/>
    <w:p>
      <w:pPr>
        <w:pStyle w:val="3"/>
        <w:pageBreakBefore w:val="0"/>
        <w:widowControl w:val="0"/>
        <w:kinsoku/>
        <w:wordWrap/>
        <w:overflowPunct/>
        <w:topLinePunct w:val="0"/>
        <w:autoSpaceDE/>
        <w:autoSpaceDN/>
        <w:bidi w:val="0"/>
        <w:adjustRightInd/>
        <w:snapToGrid/>
        <w:spacing w:after="0" w:line="380" w:lineRule="exact"/>
        <w:ind w:left="-195" w:leftChars="-93" w:firstLine="195" w:firstLineChars="81"/>
        <w:textAlignment w:val="auto"/>
        <w:rPr>
          <w:rFonts w:hint="eastAsia" w:asciiTheme="minorEastAsia" w:hAnsiTheme="minorEastAsia" w:eastAsiaTheme="minorEastAsia" w:cstheme="minorEastAsia"/>
          <w:b/>
          <w:color w:val="auto"/>
          <w:sz w:val="24"/>
          <w:highlight w:val="none"/>
          <w:lang w:val="en-US" w:eastAsia="zh-CN"/>
        </w:rPr>
        <w:sectPr>
          <w:footerReference r:id="rId7" w:type="default"/>
          <w:pgSz w:w="11900" w:h="16830"/>
          <w:pgMar w:top="1430" w:right="1350" w:bottom="1473" w:left="1680" w:header="0" w:footer="1185" w:gutter="0"/>
          <w:pgNumType w:fmt="decimal"/>
          <w:cols w:space="720" w:num="1"/>
        </w:sectPr>
      </w:pPr>
      <w:r>
        <w:rPr>
          <w:rFonts w:hint="eastAsia" w:asciiTheme="minorEastAsia" w:hAnsiTheme="minorEastAsia" w:eastAsiaTheme="minorEastAsia" w:cstheme="minorEastAsia"/>
          <w:b/>
          <w:color w:val="auto"/>
          <w:sz w:val="24"/>
          <w:highlight w:val="none"/>
          <w:lang w:val="en-US" w:eastAsia="zh-CN"/>
        </w:rPr>
        <w:t>备注：</w:t>
      </w:r>
      <w:r>
        <w:rPr>
          <w:rFonts w:hint="eastAsia" w:asciiTheme="minorEastAsia" w:hAnsiTheme="minorEastAsia" w:eastAsiaTheme="minorEastAsia" w:cstheme="minorEastAsia"/>
          <w:b/>
          <w:color w:val="auto"/>
          <w:sz w:val="24"/>
          <w:highlight w:val="none"/>
        </w:rPr>
        <w:t>资格证明文件</w:t>
      </w:r>
      <w:r>
        <w:rPr>
          <w:rFonts w:hint="eastAsia" w:asciiTheme="minorEastAsia" w:hAnsiTheme="minorEastAsia" w:eastAsiaTheme="minorEastAsia" w:cstheme="minorEastAsia"/>
          <w:b/>
          <w:color w:val="auto"/>
          <w:sz w:val="24"/>
          <w:highlight w:val="none"/>
          <w:lang w:val="en-US" w:eastAsia="zh-CN"/>
        </w:rPr>
        <w:t>5-1至5-5可提供证明材料也</w:t>
      </w:r>
      <w:r>
        <w:rPr>
          <w:rFonts w:hint="eastAsia" w:asciiTheme="minorEastAsia" w:hAnsiTheme="minorEastAsia" w:eastAsiaTheme="minorEastAsia" w:cstheme="minorEastAsia"/>
          <w:b/>
          <w:color w:val="auto"/>
          <w:sz w:val="24"/>
          <w:highlight w:val="none"/>
        </w:rPr>
        <w:t>可用</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上饶市广丰区政府采购供应商信用承诺函</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代替（见格式</w:t>
      </w:r>
      <w:r>
        <w:rPr>
          <w:rFonts w:hint="eastAsia" w:asciiTheme="minorEastAsia" w:hAnsiTheme="minorEastAsia" w:eastAsiaTheme="minorEastAsia" w:cstheme="minorEastAsia"/>
          <w:b/>
          <w:color w:val="auto"/>
          <w:sz w:val="24"/>
          <w:highlight w:val="none"/>
          <w:lang w:val="en-US" w:eastAsia="zh-CN"/>
        </w:rPr>
        <w:t>5</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w:t>
      </w:r>
    </w:p>
    <w:p>
      <w:pPr>
        <w:pStyle w:val="8"/>
        <w:rPr>
          <w:rFonts w:hint="eastAsia" w:ascii="宋体" w:hAnsi="宋体" w:eastAsia="宋体" w:cs="宋体"/>
          <w:highlight w:val="none"/>
        </w:rPr>
      </w:pPr>
    </w:p>
    <w:p>
      <w:pPr>
        <w:pStyle w:val="3"/>
        <w:jc w:val="center"/>
        <w:rPr>
          <w:rFonts w:hint="eastAsia" w:ascii="宋体" w:hAnsi="宋体" w:eastAsia="宋体" w:cs="宋体"/>
          <w:color w:val="auto"/>
          <w:sz w:val="24"/>
          <w:szCs w:val="24"/>
          <w:highlight w:val="none"/>
        </w:rPr>
      </w:pPr>
      <w:bookmarkStart w:id="75" w:name="_Toc25612"/>
      <w:bookmarkStart w:id="76" w:name="_Toc719"/>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法定代表人授权书</w:t>
      </w:r>
      <w:bookmarkEnd w:id="75"/>
      <w:bookmarkEnd w:id="76"/>
    </w:p>
    <w:p>
      <w:pPr>
        <w:spacing w:line="432" w:lineRule="auto"/>
        <w:rPr>
          <w:rFonts w:hint="eastAsia" w:ascii="宋体" w:hAnsi="宋体" w:eastAsia="宋体" w:cs="宋体"/>
          <w:color w:val="auto"/>
          <w:sz w:val="24"/>
          <w:szCs w:val="24"/>
          <w:highlight w:val="none"/>
        </w:rPr>
      </w:pPr>
    </w:p>
    <w:p>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val="en-US" w:eastAsia="zh-CN"/>
        </w:rPr>
        <w:t xml:space="preserve">上饶市广丰区中医院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全称）法定代表人授权（全权代表姓名）为全权代表,参加贵处组织的（招标编号）项目招标活动，全权代表我方处理招标活动中的一切事宜。</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w:t>
      </w:r>
      <w:r>
        <w:rPr>
          <w:rFonts w:hint="eastAsia" w:ascii="宋体" w:hAnsi="宋体" w:cs="宋体"/>
          <w:color w:val="auto"/>
          <w:sz w:val="24"/>
          <w:szCs w:val="24"/>
          <w:highlight w:val="none"/>
          <w:lang w:val="en-US" w:eastAsia="zh-CN"/>
        </w:rPr>
        <w:t>盖</w:t>
      </w:r>
      <w:r>
        <w:rPr>
          <w:rFonts w:hint="eastAsia" w:ascii="宋体" w:hAnsi="宋体" w:eastAsia="宋体" w:cs="宋体"/>
          <w:color w:val="auto"/>
          <w:sz w:val="24"/>
          <w:szCs w:val="24"/>
          <w:highlight w:val="none"/>
        </w:rPr>
        <w:t>章：</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全权代表姓名：</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 ：</w:t>
      </w:r>
    </w:p>
    <w:p>
      <w:pPr>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tabs>
          <w:tab w:val="left" w:pos="1470"/>
        </w:tabs>
        <w:spacing w:line="432" w:lineRule="auto"/>
        <w:rPr>
          <w:rFonts w:hint="eastAsia" w:ascii="宋体" w:hAnsi="宋体" w:eastAsia="宋体" w:cs="宋体"/>
          <w:b/>
          <w:color w:val="auto"/>
          <w:sz w:val="24"/>
          <w:szCs w:val="24"/>
          <w:highlight w:val="none"/>
        </w:rPr>
      </w:pPr>
    </w:p>
    <w:p>
      <w:pPr>
        <w:pStyle w:val="41"/>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附：全权代表身份证</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（正、反面）</w:t>
      </w:r>
    </w:p>
    <w:p>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说明：法定代表人参加采购，不用提供授权书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只须提供身份证复印件</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br w:type="page"/>
      </w:r>
    </w:p>
    <w:p>
      <w:pPr>
        <w:pStyle w:val="3"/>
        <w:jc w:val="center"/>
        <w:rPr>
          <w:rFonts w:hint="eastAsia" w:ascii="宋体" w:hAnsi="宋体" w:eastAsia="宋体" w:cs="宋体"/>
          <w:color w:val="auto"/>
          <w:sz w:val="24"/>
          <w:szCs w:val="24"/>
          <w:highlight w:val="none"/>
          <w:lang w:eastAsia="zh-CN"/>
        </w:rPr>
      </w:pPr>
      <w:bookmarkStart w:id="77" w:name="_Toc15743"/>
      <w:bookmarkStart w:id="78" w:name="_Toc26670"/>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上饶市广丰区政府采购供应商信用承诺函</w:t>
      </w:r>
      <w:bookmarkEnd w:id="77"/>
      <w:bookmarkEnd w:id="78"/>
    </w:p>
    <w:p>
      <w:pPr>
        <w:spacing w:line="432" w:lineRule="auto"/>
        <w:rPr>
          <w:rFonts w:hint="eastAsia" w:ascii="宋体" w:hAnsi="宋体" w:eastAsia="宋体" w:cs="宋体"/>
          <w:color w:val="auto"/>
          <w:sz w:val="24"/>
          <w:szCs w:val="24"/>
          <w:highlight w:val="none"/>
        </w:rPr>
      </w:pPr>
    </w:p>
    <w:p>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致(采购人或政府采购代理机构):</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 华人民共和国政府采购法》及相关法律法规，坚守公开、公平、公正和诚实信用等原则，依法诚信经营，无条件遵守本次政府采购活动的各项规定。</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我单位(本人)郑重承诺我单位(本人)符合《中华人民共和国政府采购法》第二十二条规定的条件：</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 参加政府采购活动前三年内，在经营活动中没有重大违法记录；</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(六)符合法律、行取法规规定的其他条件。</w:t>
      </w:r>
    </w:p>
    <w:p>
      <w:pPr>
        <w:spacing w:line="432" w:lineRule="auto"/>
        <w:ind w:firstLine="480" w:firstLineChars="20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未被列入严重失信主体名单。</w:t>
      </w:r>
      <w:r>
        <w:rPr>
          <w:rFonts w:hint="eastAsia" w:asciiTheme="minorEastAsia" w:hAnsiTheme="minorEastAsia" w:eastAsiaTheme="minorEastAsia" w:cstheme="minorEastAsia"/>
          <w:color w:val="auto"/>
          <w:sz w:val="24"/>
          <w:szCs w:val="24"/>
          <w:highlight w:val="none"/>
          <w:lang w:val="en-US" w:eastAsia="zh-CN"/>
        </w:rPr>
        <w:t>失信被执行人、重大税收违法失信主体、政府采购严重违法失信行为记录名单</w:t>
      </w:r>
      <w:r>
        <w:rPr>
          <w:rFonts w:hint="eastAsia" w:asciiTheme="minorEastAsia" w:hAnsiTheme="minorEastAsia" w:eastAsiaTheme="minorEastAsia" w:cstheme="minorEastAsia"/>
          <w:color w:val="auto"/>
          <w:sz w:val="24"/>
          <w:szCs w:val="24"/>
          <w:highlight w:val="none"/>
        </w:rPr>
        <w:t>，未曾作出虚假承诺</w:t>
      </w:r>
      <w:r>
        <w:rPr>
          <w:rFonts w:hint="eastAsia" w:ascii="宋体" w:hAnsi="宋体" w:eastAsia="宋体" w:cs="宋体"/>
          <w:color w:val="auto"/>
          <w:sz w:val="24"/>
          <w:szCs w:val="24"/>
          <w:highlight w:val="none"/>
          <w:lang w:eastAsia="zh-CN"/>
        </w:rPr>
        <w:t>。</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上述承诺事项的真实性、合法性及有效性负责。并已知晓如所做信用承诺不实、不尽，可能涉嫌《中华人民共和国政府采购法》第七十七条第一款第(一)项“提供虚假材料谋取中标成交”的违法行为。经调查核实的，将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以及第七十九条：“…… 给他人造成损失的，依照有关民事法律规定承担民事责任。”进行处理。</w:t>
      </w:r>
    </w:p>
    <w:p>
      <w:pPr>
        <w:spacing w:line="432" w:lineRule="auto"/>
        <w:rPr>
          <w:rFonts w:hint="eastAsia" w:ascii="宋体" w:hAnsi="宋体" w:eastAsia="宋体" w:cs="宋体"/>
          <w:color w:val="auto"/>
          <w:sz w:val="24"/>
          <w:szCs w:val="24"/>
          <w:highlight w:val="none"/>
        </w:rPr>
      </w:pPr>
    </w:p>
    <w:p>
      <w:pPr>
        <w:spacing w:line="432" w:lineRule="auto"/>
        <w:rPr>
          <w:rFonts w:hint="eastAsia" w:ascii="宋体" w:hAnsi="宋体" w:eastAsia="宋体" w:cs="宋体"/>
          <w:color w:val="auto"/>
          <w:sz w:val="24"/>
          <w:szCs w:val="24"/>
          <w:highlight w:val="none"/>
        </w:rPr>
      </w:pPr>
    </w:p>
    <w:p>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法定代表人、负责人、自然人或授权代表(签字):</w:t>
      </w:r>
    </w:p>
    <w:p>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spacing w:line="432" w:lineRule="auto"/>
        <w:rPr>
          <w:rFonts w:hint="eastAsia" w:ascii="宋体" w:hAnsi="宋体" w:eastAsia="宋体" w:cs="宋体"/>
          <w:color w:val="auto"/>
          <w:sz w:val="24"/>
          <w:szCs w:val="24"/>
          <w:highlight w:val="none"/>
        </w:rPr>
      </w:pPr>
    </w:p>
    <w:p>
      <w:pPr>
        <w:spacing w:line="432" w:lineRule="auto"/>
        <w:rPr>
          <w:rFonts w:hint="eastAsia" w:ascii="宋体" w:hAnsi="宋体" w:eastAsia="宋体" w:cs="宋体"/>
          <w:color w:val="auto"/>
          <w:sz w:val="24"/>
          <w:szCs w:val="24"/>
          <w:highlight w:val="none"/>
        </w:rPr>
      </w:pP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注：1.供应商须在投标(响应性)文件中按此模板提供承诺函，既未提供前述承诺函又未提供对应事项证明材料的，视为未实质性响应招标文件要求，按无效投标(响应)处理。</w:t>
      </w:r>
    </w:p>
    <w:p>
      <w:pPr>
        <w:numPr>
          <w:ilvl w:val="0"/>
          <w:numId w:val="4"/>
        </w:numPr>
        <w:spacing w:line="432"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供应商的法定代表人或者授权代表的签字或盖章应真实、有效，如由授权代表签字或盖章的，应提供“法定代表人授权书”,前述授权书应当明确授权事项、内容及权限范围。</w:t>
      </w:r>
    </w:p>
    <w:p>
      <w:pPr>
        <w:numPr>
          <w:ilvl w:val="0"/>
          <w:numId w:val="5"/>
        </w:numPr>
        <w:spacing w:line="43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在投标(响应)时，应按照规定提供信用承诺函，采购人有权在确定中标(成交)结果后、签订采购合同前，核实中标(成交)供应商所作信用承诺事项的真实性，供应商应对提供虚假承诺行为承担相应的法律责任”</w:t>
      </w:r>
    </w:p>
    <w:p>
      <w:pPr>
        <w:pStyle w:val="8"/>
        <w:widowControl w:val="0"/>
        <w:numPr>
          <w:ilvl w:val="0"/>
          <w:numId w:val="0"/>
        </w:numPr>
        <w:spacing w:after="120"/>
        <w:jc w:val="both"/>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3"/>
        <w:jc w:val="center"/>
        <w:rPr>
          <w:rFonts w:hint="eastAsia" w:ascii="宋体" w:hAnsi="宋体" w:eastAsia="宋体" w:cs="宋体"/>
          <w:color w:val="auto"/>
          <w:sz w:val="24"/>
          <w:szCs w:val="24"/>
          <w:highlight w:val="none"/>
        </w:rPr>
      </w:pPr>
      <w:bookmarkStart w:id="79" w:name="_Toc23541"/>
      <w:bookmarkStart w:id="80" w:name="_Toc19915"/>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其他资格证明文件</w:t>
      </w:r>
      <w:bookmarkEnd w:id="79"/>
      <w:bookmarkEnd w:id="80"/>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，不得参加同一合同项下的采购活动。</w:t>
      </w:r>
    </w:p>
    <w:p>
      <w:pPr>
        <w:shd w:val="clear"/>
        <w:spacing w:line="360" w:lineRule="auto"/>
        <w:ind w:firstLine="480" w:firstLineChars="200"/>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我方没有单位负责人为同一人或者存在直接控股、管理关系的不同供应商，参加本项目采购活动的情形</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承诺函，格式自拟</w:t>
      </w:r>
      <w:r>
        <w:rPr>
          <w:rFonts w:hint="eastAsia" w:ascii="宋体" w:hAnsi="宋体" w:eastAsia="宋体" w:cs="宋体"/>
          <w:b/>
          <w:bCs/>
          <w:color w:val="auto"/>
          <w:sz w:val="24"/>
          <w:szCs w:val="24"/>
          <w:highlight w:val="none"/>
        </w:rPr>
        <w:t>）</w:t>
      </w:r>
    </w:p>
    <w:p>
      <w:pPr>
        <w:spacing w:line="360" w:lineRule="auto"/>
        <w:rPr>
          <w:rFonts w:hint="eastAsia" w:ascii="宋体" w:hAnsi="宋体" w:eastAsia="宋体" w:cs="宋体"/>
          <w:highlight w:val="none"/>
        </w:rPr>
      </w:pPr>
    </w:p>
    <w:p>
      <w:pPr>
        <w:numPr>
          <w:ilvl w:val="0"/>
          <w:numId w:val="0"/>
        </w:numPr>
        <w:shd w:val="clear"/>
        <w:spacing w:line="360" w:lineRule="auto"/>
        <w:ind w:left="1"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2、为本采购项目提供整体设计、规范编制或者项目管理、监理、检测等服务的，不得参加本项目的政府采购活动。 </w:t>
      </w:r>
    </w:p>
    <w:p>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我方没有为本项目提供整体设计、规范编制或者项目管理、监理、检测等服务。</w:t>
      </w:r>
      <w:r>
        <w:rPr>
          <w:rFonts w:hint="eastAsia" w:ascii="宋体" w:hAnsi="宋体" w:eastAsia="宋体" w:cs="宋体"/>
          <w:b/>
          <w:bCs/>
          <w:color w:val="auto"/>
          <w:sz w:val="24"/>
          <w:szCs w:val="24"/>
          <w:highlight w:val="none"/>
          <w:lang w:val="en-US" w:eastAsia="zh-CN"/>
        </w:rPr>
        <w:t>（承诺函，格式自拟）</w:t>
      </w: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3、二、三类医疗器械产品需具有医疗器械注册证，一类医疗器械产品需具有产品</w:t>
      </w: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备案登记； </w:t>
      </w: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4、在中华人民共和国境内生产的二、三类医疗器械产品的需具有医疗器械生产许</w:t>
      </w: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可证,一类医疗器械产品需具有医疗器械生产备案；</w:t>
      </w: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5、经营三类医疗器械的需具有医疗器械经营企业许可证，二类医疗器械需具有医</w:t>
      </w: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疗器械经营企业备案登记。</w:t>
      </w:r>
    </w:p>
    <w:p>
      <w:pPr>
        <w:shd w:val="clear"/>
        <w:spacing w:line="360" w:lineRule="auto"/>
        <w:ind w:left="420" w:left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提供相关证明文件的复印件</w:t>
      </w:r>
    </w:p>
    <w:p>
      <w:pPr>
        <w:spacing w:line="360" w:lineRule="auto"/>
        <w:rPr>
          <w:rFonts w:hint="eastAsia" w:ascii="宋体" w:hAnsi="宋体" w:eastAsia="宋体" w:cs="宋体"/>
          <w:color w:val="auto"/>
          <w:sz w:val="24"/>
          <w:szCs w:val="24"/>
          <w:highlight w:val="none"/>
        </w:rPr>
      </w:pPr>
    </w:p>
    <w:p>
      <w:pPr>
        <w:pStyle w:val="8"/>
        <w:spacing w:line="360" w:lineRule="auto"/>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pStyle w:val="3"/>
        <w:jc w:val="center"/>
        <w:rPr>
          <w:rFonts w:hint="eastAsia" w:asciiTheme="minorEastAsia" w:hAnsiTheme="minorEastAsia" w:eastAsiaTheme="minorEastAsia" w:cstheme="minorEastAsia"/>
          <w:color w:val="auto"/>
          <w:sz w:val="24"/>
          <w:szCs w:val="24"/>
          <w:highlight w:val="none"/>
        </w:rPr>
      </w:pPr>
      <w:bookmarkStart w:id="81" w:name="_Toc4837"/>
      <w:r>
        <w:rPr>
          <w:rFonts w:hint="eastAsia" w:asciiTheme="minorEastAsia" w:hAnsiTheme="minorEastAsia" w:eastAsiaTheme="minorEastAsia" w:cstheme="minorEastAsia"/>
          <w:color w:val="auto"/>
          <w:sz w:val="24"/>
          <w:szCs w:val="24"/>
          <w:highlight w:val="none"/>
        </w:rPr>
        <w:t>格式</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制造商出具的授权函（适用于进口产品参加投标）</w:t>
      </w:r>
      <w:bookmarkEnd w:id="81"/>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36"/>
          <w:szCs w:val="32"/>
          <w:highlight w:val="none"/>
          <w:lang w:val="en-US" w:eastAsia="zh-CN"/>
        </w:rPr>
        <w:t>本项目不适用</w:t>
      </w:r>
    </w:p>
    <w:p>
      <w:pPr>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注：招标文件另有规定的从其规定或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与制造商的经销协议、代理协议</w:t>
      </w:r>
    </w:p>
    <w:p>
      <w:pPr>
        <w:ind w:firstLine="2520" w:firstLineChars="1050"/>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致：江西省机电设备招标有限公司</w:t>
      </w:r>
    </w:p>
    <w:p>
      <w:pPr>
        <w:spacing w:line="432" w:lineRule="auto"/>
        <w:ind w:firstLine="480"/>
        <w:rPr>
          <w:rFonts w:hint="eastAsia" w:asciiTheme="minorEastAsia" w:hAnsiTheme="minorEastAsia" w:eastAsiaTheme="minorEastAsia" w:cstheme="minorEastAsia"/>
          <w:color w:val="auto"/>
          <w:sz w:val="24"/>
          <w:szCs w:val="24"/>
          <w:highlight w:val="none"/>
        </w:rPr>
      </w:pPr>
    </w:p>
    <w:p>
      <w:pPr>
        <w:spacing w:line="432"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我们</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i/>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，主要营业地点设在(</w:t>
      </w:r>
      <w:r>
        <w:rPr>
          <w:rFonts w:hint="eastAsia" w:asciiTheme="minorEastAsia" w:hAnsiTheme="minorEastAsia" w:eastAsiaTheme="minorEastAsia" w:cstheme="minorEastAsia"/>
          <w:i/>
          <w:color w:val="auto"/>
          <w:sz w:val="24"/>
          <w:szCs w:val="24"/>
          <w:highlight w:val="none"/>
          <w:u w:val="single"/>
        </w:rPr>
        <w:t>制造商地址)</w:t>
      </w:r>
      <w:r>
        <w:rPr>
          <w:rFonts w:hint="eastAsia" w:asciiTheme="minorEastAsia" w:hAnsiTheme="minorEastAsia" w:eastAsiaTheme="minorEastAsia" w:cstheme="minorEastAsia"/>
          <w:color w:val="auto"/>
          <w:sz w:val="24"/>
          <w:szCs w:val="24"/>
          <w:highlight w:val="none"/>
        </w:rPr>
        <w:t>。我们获悉按中华人民共和国法律成立的,主要营业地点设在</w:t>
      </w:r>
      <w:r>
        <w:rPr>
          <w:rFonts w:hint="eastAsia" w:asciiTheme="minorEastAsia" w:hAnsiTheme="minorEastAsia" w:eastAsiaTheme="minorEastAsia" w:cstheme="minorEastAsia"/>
          <w:i/>
          <w:color w:val="auto"/>
          <w:sz w:val="24"/>
          <w:szCs w:val="24"/>
          <w:highlight w:val="none"/>
          <w:u w:val="single"/>
        </w:rPr>
        <w:t>(贸易公司地址)</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i/>
          <w:color w:val="auto"/>
          <w:sz w:val="24"/>
          <w:szCs w:val="24"/>
          <w:highlight w:val="none"/>
          <w:u w:val="single"/>
        </w:rPr>
        <w:t>(贸易公司名称)</w:t>
      </w:r>
      <w:r>
        <w:rPr>
          <w:rFonts w:hint="eastAsia" w:asciiTheme="minorEastAsia" w:hAnsiTheme="minorEastAsia" w:eastAsiaTheme="minorEastAsia" w:cstheme="minorEastAsia"/>
          <w:color w:val="auto"/>
          <w:sz w:val="24"/>
          <w:szCs w:val="24"/>
          <w:highlight w:val="none"/>
        </w:rPr>
        <w:t>将以我方的产品对贵公司的招标项目进行投标，我们特作如下说明：</w:t>
      </w:r>
    </w:p>
    <w:p>
      <w:pPr>
        <w:spacing w:line="432"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（1）同意</w:t>
      </w:r>
      <w:r>
        <w:rPr>
          <w:rFonts w:hint="eastAsia" w:asciiTheme="minorEastAsia" w:hAnsiTheme="minorEastAsia" w:eastAsiaTheme="minorEastAsia" w:cstheme="minorEastAsia"/>
          <w:i/>
          <w:color w:val="auto"/>
          <w:sz w:val="24"/>
          <w:szCs w:val="24"/>
          <w:highlight w:val="none"/>
          <w:u w:val="single"/>
        </w:rPr>
        <w:t>(贸易公司名称)</w:t>
      </w:r>
      <w:r>
        <w:rPr>
          <w:rFonts w:hint="eastAsia" w:asciiTheme="minorEastAsia" w:hAnsiTheme="minorEastAsia" w:eastAsiaTheme="minorEastAsia" w:cstheme="minorEastAsia"/>
          <w:color w:val="auto"/>
          <w:sz w:val="24"/>
          <w:szCs w:val="24"/>
          <w:highlight w:val="none"/>
        </w:rPr>
        <w:t>在中华人民共和国境内以</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i/>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产品名称、型号）</w:t>
      </w:r>
      <w:r>
        <w:rPr>
          <w:rFonts w:hint="eastAsia" w:asciiTheme="minorEastAsia" w:hAnsiTheme="minorEastAsia" w:eastAsiaTheme="minorEastAsia" w:cstheme="minorEastAsia"/>
          <w:color w:val="auto"/>
          <w:sz w:val="24"/>
          <w:szCs w:val="24"/>
          <w:highlight w:val="none"/>
        </w:rPr>
        <w:t>参加贵公司有关</w:t>
      </w:r>
      <w:r>
        <w:rPr>
          <w:rFonts w:hint="eastAsia" w:asciiTheme="minorEastAsia" w:hAnsiTheme="minorEastAsia" w:eastAsiaTheme="minorEastAsia" w:cstheme="minorEastAsia"/>
          <w:color w:val="auto"/>
          <w:sz w:val="24"/>
          <w:szCs w:val="24"/>
          <w:highlight w:val="none"/>
          <w:u w:val="single"/>
        </w:rPr>
        <w:t>（项目名称、项目编号）</w:t>
      </w:r>
      <w:r>
        <w:rPr>
          <w:rFonts w:hint="eastAsia" w:asciiTheme="minorEastAsia" w:hAnsiTheme="minorEastAsia" w:eastAsiaTheme="minorEastAsia" w:cstheme="minorEastAsia"/>
          <w:color w:val="auto"/>
          <w:sz w:val="24"/>
          <w:szCs w:val="24"/>
          <w:highlight w:val="none"/>
        </w:rPr>
        <w:t>招标，并在中标后向我方购买相关产品。</w:t>
      </w:r>
    </w:p>
    <w:p>
      <w:pPr>
        <w:spacing w:line="432" w:lineRule="auto"/>
        <w:ind w:left="42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（贸易公司名称）</w:t>
      </w:r>
      <w:r>
        <w:rPr>
          <w:rFonts w:hint="eastAsia" w:asciiTheme="minorEastAsia" w:hAnsiTheme="minorEastAsia" w:eastAsiaTheme="minorEastAsia" w:cstheme="minorEastAsia"/>
          <w:color w:val="auto"/>
          <w:sz w:val="24"/>
          <w:szCs w:val="24"/>
          <w:highlight w:val="none"/>
        </w:rPr>
        <w:t>在中标后，将按照与采购人签订的合同承担责任。</w:t>
      </w:r>
    </w:p>
    <w:p>
      <w:pPr>
        <w:spacing w:line="432" w:lineRule="auto"/>
        <w:ind w:firstLine="42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（3）我们将依法承担制造商的责任。</w:t>
      </w:r>
    </w:p>
    <w:p>
      <w:pPr>
        <w:spacing w:line="432" w:lineRule="auto"/>
        <w:rPr>
          <w:rFonts w:hint="eastAsia" w:asciiTheme="minorEastAsia" w:hAnsiTheme="minorEastAsia" w:eastAsiaTheme="minorEastAsia" w:cstheme="minorEastAsia"/>
          <w:color w:val="auto"/>
          <w:sz w:val="24"/>
          <w:szCs w:val="24"/>
          <w:highlight w:val="none"/>
        </w:rPr>
      </w:pPr>
    </w:p>
    <w:p>
      <w:pPr>
        <w:spacing w:line="432"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我方于年 月日签署本文件，</w:t>
      </w:r>
      <w:r>
        <w:rPr>
          <w:rFonts w:hint="eastAsia" w:asciiTheme="minorEastAsia" w:hAnsiTheme="minorEastAsia" w:eastAsiaTheme="minorEastAsia" w:cstheme="minorEastAsia"/>
          <w:i/>
          <w:color w:val="auto"/>
          <w:sz w:val="24"/>
          <w:szCs w:val="24"/>
          <w:highlight w:val="none"/>
          <w:u w:val="single"/>
        </w:rPr>
        <w:t>(贸易公司名称)</w:t>
      </w:r>
      <w:r>
        <w:rPr>
          <w:rFonts w:hint="eastAsia" w:asciiTheme="minorEastAsia" w:hAnsiTheme="minorEastAsia" w:eastAsiaTheme="minorEastAsia" w:cstheme="minorEastAsia"/>
          <w:color w:val="auto"/>
          <w:sz w:val="24"/>
          <w:szCs w:val="24"/>
          <w:highlight w:val="none"/>
        </w:rPr>
        <w:t>于年月日接受此件，以此为证。</w:t>
      </w:r>
    </w:p>
    <w:p>
      <w:pPr>
        <w:spacing w:line="432" w:lineRule="auto"/>
        <w:rPr>
          <w:rFonts w:hint="eastAsia" w:asciiTheme="minorEastAsia" w:hAnsiTheme="minorEastAsia" w:eastAsiaTheme="minorEastAsia" w:cstheme="minorEastAsia"/>
          <w:color w:val="auto"/>
          <w:sz w:val="24"/>
          <w:szCs w:val="24"/>
          <w:highlight w:val="none"/>
        </w:rPr>
      </w:pPr>
    </w:p>
    <w:p>
      <w:pPr>
        <w:spacing w:line="432" w:lineRule="auto"/>
        <w:rPr>
          <w:rFonts w:hint="eastAsia" w:asciiTheme="minorEastAsia" w:hAnsiTheme="minorEastAsia" w:eastAsiaTheme="minorEastAsia" w:cstheme="minorEastAsia"/>
          <w:color w:val="auto"/>
          <w:sz w:val="24"/>
          <w:szCs w:val="24"/>
          <w:highlight w:val="none"/>
        </w:rPr>
      </w:pPr>
    </w:p>
    <w:p>
      <w:pPr>
        <w:spacing w:line="432" w:lineRule="auto"/>
        <w:rPr>
          <w:rFonts w:hint="eastAsia" w:asciiTheme="minorEastAsia" w:hAnsiTheme="minorEastAsia" w:eastAsiaTheme="minorEastAsia" w:cstheme="minorEastAsia"/>
          <w:color w:val="auto"/>
          <w:sz w:val="24"/>
          <w:szCs w:val="24"/>
          <w:highlight w:val="none"/>
        </w:rPr>
      </w:pPr>
    </w:p>
    <w:p>
      <w:pPr>
        <w:spacing w:line="43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贸易公司签章：                             制造商签章：              </w:t>
      </w:r>
    </w:p>
    <w:p>
      <w:pPr>
        <w:spacing w:line="43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法定代表人或授权代表职务和部门：           法定代表人或授权代表职务和部门：        </w:t>
      </w:r>
    </w:p>
    <w:p>
      <w:pPr>
        <w:spacing w:line="43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签字人签名或签章：                         签字人签名或签章：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rPr>
          <w:rFonts w:hint="eastAsia"/>
          <w:lang w:val="en-US" w:eastAsia="zh-CN"/>
        </w:rPr>
        <w:sectPr>
          <w:footerReference r:id="rId8" w:type="default"/>
          <w:pgSz w:w="11900" w:h="16830"/>
          <w:pgMar w:top="1430" w:right="1369" w:bottom="1347" w:left="1690" w:header="0" w:footer="1081" w:gutter="0"/>
          <w:pgNumType w:fmt="decimal"/>
          <w:cols w:space="720" w:num="1"/>
        </w:sectPr>
      </w:pPr>
    </w:p>
    <w:bookmarkEnd w:id="62"/>
    <w:bookmarkEnd w:id="63"/>
    <w:p>
      <w:pPr>
        <w:jc w:val="center"/>
        <w:rPr>
          <w:rFonts w:hint="eastAsia" w:ascii="宋体" w:hAnsi="宋体" w:eastAsia="宋体" w:cs="宋体"/>
          <w:b/>
          <w:color w:val="auto"/>
          <w:sz w:val="30"/>
          <w:szCs w:val="30"/>
          <w:highlight w:val="none"/>
        </w:rPr>
      </w:pPr>
      <w:bookmarkStart w:id="82" w:name="_Toc225565945"/>
      <w:bookmarkStart w:id="83" w:name="_Toc225565944"/>
    </w:p>
    <w:p>
      <w:pPr>
        <w:jc w:val="center"/>
        <w:rPr>
          <w:rFonts w:hint="eastAsia" w:ascii="宋体" w:hAnsi="宋体" w:eastAsia="宋体" w:cs="宋体"/>
          <w:b/>
          <w:color w:val="auto"/>
          <w:sz w:val="30"/>
          <w:szCs w:val="30"/>
          <w:highlight w:val="none"/>
        </w:rPr>
      </w:pPr>
    </w:p>
    <w:bookmarkEnd w:id="64"/>
    <w:bookmarkEnd w:id="65"/>
    <w:bookmarkEnd w:id="82"/>
    <w:bookmarkEnd w:id="83"/>
    <w:p>
      <w:pPr>
        <w:pStyle w:val="2"/>
        <w:jc w:val="center"/>
        <w:rPr>
          <w:rFonts w:hint="eastAsia" w:ascii="宋体" w:hAnsi="宋体" w:eastAsia="宋体" w:cs="宋体"/>
          <w:b/>
          <w:bCs/>
          <w:color w:val="auto"/>
          <w:sz w:val="32"/>
          <w:highlight w:val="none"/>
        </w:rPr>
      </w:pPr>
      <w:bookmarkStart w:id="84" w:name="_Toc8819"/>
      <w:r>
        <w:rPr>
          <w:rFonts w:hint="eastAsia" w:ascii="宋体" w:hAnsi="宋体" w:eastAsia="宋体" w:cs="宋体"/>
          <w:b/>
          <w:bCs/>
          <w:color w:val="auto"/>
          <w:sz w:val="32"/>
          <w:highlight w:val="none"/>
        </w:rPr>
        <w:t>第</w:t>
      </w:r>
      <w:r>
        <w:rPr>
          <w:rFonts w:hint="eastAsia" w:hAnsi="宋体" w:cs="宋体"/>
          <w:b/>
          <w:bCs/>
          <w:color w:val="auto"/>
          <w:sz w:val="32"/>
          <w:highlight w:val="none"/>
          <w:lang w:val="en-US" w:eastAsia="zh-CN"/>
        </w:rPr>
        <w:t>四</w:t>
      </w:r>
      <w:r>
        <w:rPr>
          <w:rFonts w:hint="eastAsia" w:ascii="宋体" w:hAnsi="宋体" w:eastAsia="宋体" w:cs="宋体"/>
          <w:b/>
          <w:bCs/>
          <w:color w:val="auto"/>
          <w:sz w:val="32"/>
          <w:highlight w:val="none"/>
        </w:rPr>
        <w:t>章　采购需求一览表及采购要求</w:t>
      </w:r>
      <w:bookmarkEnd w:id="84"/>
    </w:p>
    <w:p>
      <w:pPr>
        <w:pStyle w:val="3"/>
        <w:numPr>
          <w:ilvl w:val="0"/>
          <w:numId w:val="6"/>
        </w:numPr>
        <w:spacing w:before="0" w:after="0" w:line="400" w:lineRule="exact"/>
        <w:jc w:val="center"/>
        <w:rPr>
          <w:rFonts w:hint="eastAsia" w:ascii="宋体" w:hAnsi="宋体" w:eastAsia="宋体" w:cs="宋体"/>
          <w:color w:val="auto"/>
          <w:sz w:val="28"/>
          <w:szCs w:val="28"/>
          <w:highlight w:val="none"/>
        </w:rPr>
      </w:pPr>
      <w:bookmarkStart w:id="85" w:name="_Toc260"/>
      <w:r>
        <w:rPr>
          <w:rFonts w:hint="eastAsia" w:ascii="宋体" w:hAnsi="宋体" w:eastAsia="宋体" w:cs="宋体"/>
          <w:color w:val="auto"/>
          <w:sz w:val="28"/>
          <w:szCs w:val="28"/>
          <w:highlight w:val="none"/>
        </w:rPr>
        <w:t>采购需求一览表</w:t>
      </w:r>
      <w:bookmarkEnd w:id="85"/>
    </w:p>
    <w:p>
      <w:pPr>
        <w:rPr>
          <w:rFonts w:hint="eastAsia" w:ascii="宋体" w:hAnsi="宋体" w:eastAsia="宋体" w:cs="宋体"/>
          <w:color w:val="auto"/>
          <w:highlight w:val="none"/>
        </w:rPr>
      </w:pPr>
    </w:p>
    <w:tbl>
      <w:tblPr>
        <w:tblStyle w:val="2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trPr>
        <w:tc>
          <w:tcPr>
            <w:tcW w:w="2835" w:type="dxa"/>
            <w:tcBorders>
              <w:top w:val="single" w:color="auto" w:sz="12" w:space="0"/>
              <w:left w:val="single" w:color="auto" w:sz="12" w:space="0"/>
            </w:tcBorders>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-59055</wp:posOffset>
                      </wp:positionH>
                      <wp:positionV relativeFrom="paragraph">
                        <wp:posOffset>0</wp:posOffset>
                      </wp:positionV>
                      <wp:extent cx="1781175" cy="1479550"/>
                      <wp:effectExtent l="3175" t="3810" r="6350" b="21590"/>
                      <wp:wrapNone/>
                      <wp:docPr id="9" name="__TH_G12小四95"/>
                      <wp:cNvGraphicFramePr/>
                      <a:graphic xmlns:a="http://schemas.openxmlformats.org/drawingml/2006/main">
                        <a:graphicData uri="http://schemas.microsoft.com/office/word/2010/wordprocessingGroup">
                          <wpg:wgp>
                            <wpg:cNvGrpSpPr/>
                            <wpg:grpSpPr>
                              <a:xfrm>
                                <a:off x="0" y="0"/>
                                <a:ext cx="1781175" cy="1479550"/>
                                <a:chOff x="1716" y="3057"/>
                                <a:chExt cx="2805" cy="2330"/>
                              </a:xfrm>
                              <a:effectLst/>
                            </wpg:grpSpPr>
                            <wps:wsp>
                              <wps:cNvPr id="2" name="__TH_L88"/>
                              <wps:cNvCnPr/>
                              <wps:spPr>
                                <a:xfrm>
                                  <a:off x="1716" y="3057"/>
                                  <a:ext cx="2805" cy="2330"/>
                                </a:xfrm>
                                <a:prstGeom prst="line">
                                  <a:avLst/>
                                </a:prstGeom>
                                <a:ln w="6350" cap="flat" cmpd="sng">
                                  <a:solidFill>
                                    <a:srgbClr val="000000"/>
                                  </a:solidFill>
                                  <a:prstDash val="solid"/>
                                  <a:headEnd type="none" w="med" len="med"/>
                                  <a:tailEnd type="none" w="med" len="med"/>
                                </a:ln>
                                <a:effectLst/>
                              </wps:spPr>
                              <wps:bodyPr upright="1"/>
                            </wps:wsp>
                            <wps:wsp>
                              <wps:cNvPr id="3" name="__TH_B1189"/>
                              <wps:cNvSpPr txBox="1"/>
                              <wps:spPr>
                                <a:xfrm>
                                  <a:off x="2769" y="3199"/>
                                  <a:ext cx="300" cy="300"/>
                                </a:xfrm>
                                <a:prstGeom prst="rect">
                                  <a:avLst/>
                                </a:prstGeom>
                                <a:noFill/>
                                <a:ln>
                                  <a:noFill/>
                                </a:ln>
                                <a:effectLst/>
                              </wps:spPr>
                              <wps:txbx>
                                <w:txbxContent>
                                  <w:p>
                                    <w:pPr>
                                      <w:snapToGrid w:val="0"/>
                                      <w:rPr>
                                        <w:sz w:val="24"/>
                                      </w:rPr>
                                    </w:pPr>
                                    <w:r>
                                      <w:rPr>
                                        <w:rFonts w:hint="eastAsia"/>
                                        <w:sz w:val="24"/>
                                      </w:rPr>
                                      <w:t>采</w:t>
                                    </w:r>
                                  </w:p>
                                </w:txbxContent>
                              </wps:txbx>
                              <wps:bodyPr lIns="0" tIns="0" rIns="0" bIns="0" upright="1"/>
                            </wps:wsp>
                            <wps:wsp>
                              <wps:cNvPr id="4" name="__TH_B1290"/>
                              <wps:cNvSpPr txBox="1"/>
                              <wps:spPr>
                                <a:xfrm>
                                  <a:off x="3184" y="3544"/>
                                  <a:ext cx="300" cy="300"/>
                                </a:xfrm>
                                <a:prstGeom prst="rect">
                                  <a:avLst/>
                                </a:prstGeom>
                                <a:noFill/>
                                <a:ln>
                                  <a:noFill/>
                                </a:ln>
                                <a:effectLst/>
                              </wps:spPr>
                              <wps:txbx>
                                <w:txbxContent>
                                  <w:p>
                                    <w:pPr>
                                      <w:snapToGrid w:val="0"/>
                                      <w:rPr>
                                        <w:sz w:val="24"/>
                                      </w:rPr>
                                    </w:pPr>
                                    <w:r>
                                      <w:rPr>
                                        <w:rFonts w:hint="eastAsia"/>
                                        <w:sz w:val="24"/>
                                      </w:rPr>
                                      <w:t>购</w:t>
                                    </w:r>
                                  </w:p>
                                </w:txbxContent>
                              </wps:txbx>
                              <wps:bodyPr lIns="0" tIns="0" rIns="0" bIns="0" upright="1"/>
                            </wps:wsp>
                            <wps:wsp>
                              <wps:cNvPr id="5" name="__TH_B1391"/>
                              <wps:cNvSpPr txBox="1"/>
                              <wps:spPr>
                                <a:xfrm>
                                  <a:off x="3599" y="3888"/>
                                  <a:ext cx="300" cy="300"/>
                                </a:xfrm>
                                <a:prstGeom prst="rect">
                                  <a:avLst/>
                                </a:prstGeom>
                                <a:noFill/>
                                <a:ln>
                                  <a:noFill/>
                                </a:ln>
                                <a:effectLst/>
                              </wps:spPr>
                              <wps:txbx>
                                <w:txbxContent>
                                  <w:p>
                                    <w:pPr>
                                      <w:snapToGrid w:val="0"/>
                                      <w:rPr>
                                        <w:sz w:val="24"/>
                                      </w:rPr>
                                    </w:pPr>
                                    <w:r>
                                      <w:rPr>
                                        <w:rFonts w:hint="eastAsia"/>
                                        <w:sz w:val="24"/>
                                      </w:rPr>
                                      <w:t>名</w:t>
                                    </w:r>
                                  </w:p>
                                </w:txbxContent>
                              </wps:txbx>
                              <wps:bodyPr lIns="0" tIns="0" rIns="0" bIns="0" upright="1"/>
                            </wps:wsp>
                            <wps:wsp>
                              <wps:cNvPr id="6" name="__TH_B1492"/>
                              <wps:cNvSpPr txBox="1"/>
                              <wps:spPr>
                                <a:xfrm>
                                  <a:off x="4014" y="4233"/>
                                  <a:ext cx="300" cy="300"/>
                                </a:xfrm>
                                <a:prstGeom prst="rect">
                                  <a:avLst/>
                                </a:prstGeom>
                                <a:noFill/>
                                <a:ln>
                                  <a:noFill/>
                                </a:ln>
                                <a:effectLst/>
                              </wps:spPr>
                              <wps:txbx>
                                <w:txbxContent>
                                  <w:p>
                                    <w:pPr>
                                      <w:snapToGrid w:val="0"/>
                                      <w:rPr>
                                        <w:sz w:val="24"/>
                                      </w:rPr>
                                    </w:pPr>
                                    <w:r>
                                      <w:rPr>
                                        <w:rFonts w:hint="eastAsia"/>
                                        <w:sz w:val="24"/>
                                      </w:rPr>
                                      <w:t>称</w:t>
                                    </w:r>
                                  </w:p>
                                </w:txbxContent>
                              </wps:txbx>
                              <wps:bodyPr lIns="0" tIns="0" rIns="0" bIns="0" upright="1"/>
                            </wps:wsp>
                            <wps:wsp>
                              <wps:cNvPr id="7" name="__TH_B2193"/>
                              <wps:cNvSpPr txBox="1"/>
                              <wps:spPr>
                                <a:xfrm>
                                  <a:off x="2140" y="4061"/>
                                  <a:ext cx="300" cy="300"/>
                                </a:xfrm>
                                <a:prstGeom prst="rect">
                                  <a:avLst/>
                                </a:prstGeom>
                                <a:noFill/>
                                <a:ln>
                                  <a:noFill/>
                                </a:ln>
                                <a:effectLst/>
                              </wps:spPr>
                              <wps:txbx>
                                <w:txbxContent>
                                  <w:p>
                                    <w:pPr>
                                      <w:snapToGrid w:val="0"/>
                                      <w:rPr>
                                        <w:sz w:val="24"/>
                                      </w:rPr>
                                    </w:pPr>
                                    <w:r>
                                      <w:rPr>
                                        <w:rFonts w:hint="eastAsia"/>
                                        <w:sz w:val="24"/>
                                      </w:rPr>
                                      <w:t>内</w:t>
                                    </w:r>
                                  </w:p>
                                </w:txbxContent>
                              </wps:txbx>
                              <wps:bodyPr lIns="0" tIns="0" rIns="0" bIns="0" upright="1"/>
                            </wps:wsp>
                            <wps:wsp>
                              <wps:cNvPr id="10" name="__TH_B2294"/>
                              <wps:cNvSpPr txBox="1"/>
                              <wps:spPr>
                                <a:xfrm>
                                  <a:off x="2987" y="4765"/>
                                  <a:ext cx="300" cy="300"/>
                                </a:xfrm>
                                <a:prstGeom prst="rect">
                                  <a:avLst/>
                                </a:prstGeom>
                                <a:noFill/>
                                <a:ln>
                                  <a:noFill/>
                                </a:ln>
                                <a:effectLst/>
                              </wps:spPr>
                              <wps:txbx>
                                <w:txbxContent>
                                  <w:p>
                                    <w:pPr>
                                      <w:snapToGrid w:val="0"/>
                                      <w:rPr>
                                        <w:sz w:val="24"/>
                                      </w:rPr>
                                    </w:pPr>
                                    <w:r>
                                      <w:rPr>
                                        <w:rFonts w:hint="eastAsia"/>
                                        <w:sz w:val="24"/>
                                      </w:rPr>
                                      <w:t>容</w:t>
                                    </w:r>
                                  </w:p>
                                </w:txbxContent>
                              </wps:txbx>
                              <wps:bodyPr lIns="0" tIns="0" rIns="0" bIns="0" upright="1"/>
                            </wps:wsp>
                          </wpg:wgp>
                        </a:graphicData>
                      </a:graphic>
                    </wp:anchor>
                  </w:drawing>
                </mc:Choice>
                <mc:Fallback>
                  <w:pict>
                    <v:group id="__TH_G12小四95" o:spid="_x0000_s1026" o:spt="203" style="position:absolute;left:0pt;margin-left:-4.65pt;margin-top:0pt;height:116.5pt;width:140.25pt;z-index:251659264;mso-width-relative:page;mso-height-relative:page;" coordorigin="1716,3057" coordsize="2805,2330" o:gfxdata="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W5BkFdgAAAAHAQAADwAAAAAAAAABACAAAAAiAAAAZHJzL2Rvd25y&#10;ZXYueG1sUEsBAhQAFAAAAAgAh07iQGiPp1lUAwAA9w4AAA4AAAAAAAAAAQAgAAAAJwEAAGRycy9l&#10;Mm9Eb2MueG1sUEsFBgAAAAAGAAYAWQEAAO0GAAAAAA==&#10;">
                      <o:lock v:ext="edit" aspectratio="f"/>
                      <v:line id="__TH_L88" o:spid="_x0000_s1026" o:spt="20" style="position:absolute;left:1716;top:3057;height:2330;width:280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采</w:t>
                              </w:r>
                            </w:p>
                          </w:txbxContent>
                        </v:textbox>
                      </v:shape>
                      <v:shape id="__TH_B1290" o:spid="_x0000_s1026" o:spt="202" type="#_x0000_t202" style="position:absolute;left:3184;top:3544;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购</w:t>
                              </w:r>
                            </w:p>
                          </w:txbxContent>
                        </v:textbox>
                      </v:shape>
                      <v:shape id="__TH_B1391" o:spid="_x0000_s1026" o:spt="202" type="#_x0000_t202" style="position:absolute;left:3599;top:3888;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名</w:t>
                              </w:r>
                            </w:p>
                          </w:txbxContent>
                        </v:textbox>
                      </v:shape>
                      <v:shape id="__TH_B1492" o:spid="_x0000_s1026" o:spt="202" type="#_x0000_t202" style="position:absolute;left:4014;top:4233;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称</w:t>
                              </w:r>
                            </w:p>
                          </w:txbxContent>
                        </v:textbox>
                      </v:shape>
                      <v:shape id="__TH_B2193" o:spid="_x0000_s1026" o:spt="202" type="#_x0000_t202" style="position:absolute;left:2140;top:4061;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rPr>
                                <w:t>内</w:t>
                              </w:r>
                            </w:p>
                          </w:txbxContent>
                        </v:textbox>
                      </v:shape>
                      <v:shape id="__TH_B2294" o:spid="_x0000_s1026" o:spt="202" type="#_x0000_t202" style="position:absolute;left:2987;top:4765;height:300;width:30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rPr>
                                <w:t>容</w:t>
                              </w:r>
                            </w:p>
                          </w:txbxContent>
                        </v:textbox>
                      </v:shape>
                    </v:group>
                  </w:pict>
                </mc:Fallback>
              </mc:AlternateContent>
            </w:r>
          </w:p>
        </w:tc>
        <w:tc>
          <w:tcPr>
            <w:tcW w:w="5805" w:type="dxa"/>
            <w:tcBorders>
              <w:top w:val="single" w:color="auto" w:sz="12" w:space="0"/>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合同履行期限</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地点</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安装地点</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本项目为交钥匙工程，报价内容包含</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文件规</w:t>
            </w:r>
          </w:p>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定的完成相关服务所需的设备、人员、培训、技术支</w:t>
            </w:r>
          </w:p>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持、税费等一切相关费用。</w:t>
            </w:r>
          </w:p>
        </w:tc>
      </w:tr>
    </w:tbl>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
        <w:numPr>
          <w:ilvl w:val="0"/>
          <w:numId w:val="0"/>
        </w:numPr>
        <w:spacing w:before="0" w:after="0" w:line="400" w:lineRule="exact"/>
        <w:ind w:leftChars="0"/>
        <w:jc w:val="center"/>
        <w:rPr>
          <w:rFonts w:hint="eastAsia" w:ascii="宋体" w:hAnsi="宋体" w:eastAsia="宋体" w:cs="宋体"/>
          <w:color w:val="auto"/>
          <w:sz w:val="28"/>
          <w:szCs w:val="28"/>
          <w:highlight w:val="none"/>
        </w:rPr>
      </w:pPr>
      <w:bookmarkStart w:id="86" w:name="_Toc18469"/>
      <w:r>
        <w:rPr>
          <w:rFonts w:hint="eastAsia" w:ascii="宋体" w:hAnsi="宋体" w:eastAsia="宋体" w:cs="宋体"/>
          <w:color w:val="auto"/>
          <w:sz w:val="28"/>
          <w:szCs w:val="28"/>
          <w:highlight w:val="none"/>
        </w:rPr>
        <w:t>二、采购要求</w:t>
      </w:r>
      <w:bookmarkEnd w:id="86"/>
    </w:p>
    <w:p>
      <w:pPr>
        <w:ind w:left="-2"/>
        <w:rPr>
          <w:rFonts w:hint="eastAsia" w:ascii="宋体" w:hAnsi="宋体" w:eastAsia="宋体" w:cs="宋体"/>
          <w:b/>
          <w:bCs/>
          <w:color w:val="auto"/>
          <w:sz w:val="24"/>
          <w:szCs w:val="24"/>
          <w:highlight w:val="none"/>
        </w:rPr>
      </w:pPr>
    </w:p>
    <w:p>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p>
    <w:p>
      <w:pPr>
        <w:ind w:left="-2"/>
        <w:rPr>
          <w:rFonts w:hint="eastAsia" w:ascii="宋体" w:hAnsi="宋体" w:eastAsia="宋体" w:cs="宋体"/>
          <w:sz w:val="24"/>
          <w:szCs w:val="24"/>
          <w:highlight w:val="none"/>
          <w:lang w:val="en-US" w:eastAsia="zh-CN"/>
        </w:rPr>
      </w:pPr>
    </w:p>
    <w:p>
      <w:pPr>
        <w:spacing w:line="276" w:lineRule="auto"/>
        <w:rPr>
          <w:rFonts w:ascii="宋体" w:hAnsi="宋体"/>
          <w:b/>
          <w:sz w:val="24"/>
          <w:szCs w:val="24"/>
        </w:rPr>
      </w:pPr>
      <w:r>
        <w:rPr>
          <w:rFonts w:hint="eastAsia" w:ascii="宋体" w:hAnsi="宋体"/>
          <w:sz w:val="24"/>
          <w:szCs w:val="24"/>
        </w:rPr>
        <w:t>1、通道数：双通道（二个喷头），微电脑独立控制；</w:t>
      </w:r>
    </w:p>
    <w:p>
      <w:pPr>
        <w:spacing w:line="276" w:lineRule="auto"/>
        <w:rPr>
          <w:rFonts w:ascii="宋体" w:hAnsi="宋体"/>
          <w:b/>
          <w:sz w:val="24"/>
          <w:szCs w:val="24"/>
        </w:rPr>
      </w:pPr>
      <w:r>
        <w:rPr>
          <w:rFonts w:hint="eastAsia" w:ascii="宋体" w:hAnsi="宋体"/>
          <w:sz w:val="24"/>
          <w:szCs w:val="24"/>
        </w:rPr>
        <w:t>2、</w:t>
      </w:r>
      <w:r>
        <w:rPr>
          <w:rFonts w:hint="eastAsia" w:ascii="宋体" w:hAnsi="宋体"/>
          <w:sz w:val="24"/>
          <w:szCs w:val="24"/>
          <w:lang w:val="zh-CN"/>
        </w:rPr>
        <w:t>保温及治疗功率</w:t>
      </w:r>
      <w:r>
        <w:rPr>
          <w:rFonts w:hint="eastAsia" w:ascii="宋体" w:hAnsi="宋体"/>
          <w:sz w:val="24"/>
          <w:szCs w:val="24"/>
        </w:rPr>
        <w:t>1、2、3、4档可调；</w:t>
      </w:r>
    </w:p>
    <w:p>
      <w:pPr>
        <w:spacing w:line="276" w:lineRule="auto"/>
        <w:ind w:left="480" w:hanging="480" w:hangingChars="200"/>
        <w:rPr>
          <w:rFonts w:hint="eastAsia" w:ascii="宋体" w:hAnsi="宋体"/>
          <w:b/>
          <w:sz w:val="24"/>
          <w:szCs w:val="24"/>
        </w:rPr>
      </w:pPr>
      <w:r>
        <w:rPr>
          <w:rFonts w:ascii="宋体" w:hAnsi="宋体"/>
          <w:sz w:val="24"/>
          <w:szCs w:val="24"/>
        </w:rPr>
        <w:t>3</w:t>
      </w:r>
      <w:r>
        <w:rPr>
          <w:rFonts w:hint="eastAsia" w:ascii="宋体" w:hAnsi="宋体"/>
          <w:sz w:val="24"/>
          <w:szCs w:val="24"/>
        </w:rPr>
        <w:t>、药液从常温加热到9</w:t>
      </w:r>
      <w:r>
        <w:rPr>
          <w:rFonts w:ascii="宋体" w:hAnsi="宋体"/>
          <w:sz w:val="24"/>
          <w:szCs w:val="24"/>
        </w:rPr>
        <w:t>5</w:t>
      </w:r>
      <w:r>
        <w:rPr>
          <w:rFonts w:hint="eastAsia" w:ascii="宋体" w:hAnsi="宋体"/>
          <w:sz w:val="24"/>
          <w:szCs w:val="24"/>
        </w:rPr>
        <w:t>℃时间≤1</w:t>
      </w:r>
      <w:r>
        <w:rPr>
          <w:rFonts w:ascii="宋体" w:hAnsi="宋体"/>
          <w:sz w:val="24"/>
          <w:szCs w:val="24"/>
        </w:rPr>
        <w:t>5</w:t>
      </w:r>
      <w:r>
        <w:rPr>
          <w:rFonts w:hint="eastAsia" w:ascii="宋体" w:hAnsi="宋体"/>
          <w:sz w:val="24"/>
          <w:szCs w:val="24"/>
        </w:rPr>
        <w:t>分钟</w:t>
      </w:r>
    </w:p>
    <w:p>
      <w:pPr>
        <w:spacing w:line="276" w:lineRule="auto"/>
        <w:rPr>
          <w:rFonts w:ascii="宋体" w:hAnsi="宋体"/>
          <w:b/>
          <w:sz w:val="24"/>
          <w:szCs w:val="24"/>
        </w:rPr>
      </w:pPr>
      <w:r>
        <w:rPr>
          <w:rFonts w:ascii="宋体" w:hAnsi="宋体"/>
          <w:sz w:val="24"/>
          <w:szCs w:val="24"/>
        </w:rPr>
        <w:t>4</w:t>
      </w:r>
      <w:r>
        <w:rPr>
          <w:rFonts w:hint="eastAsia" w:ascii="宋体" w:hAnsi="宋体"/>
          <w:sz w:val="24"/>
          <w:szCs w:val="24"/>
        </w:rPr>
        <w:t>、治疗时间1-</w:t>
      </w:r>
      <w:r>
        <w:rPr>
          <w:rFonts w:ascii="宋体" w:hAnsi="宋体"/>
          <w:sz w:val="24"/>
          <w:szCs w:val="24"/>
        </w:rPr>
        <w:t>60</w:t>
      </w:r>
      <w:r>
        <w:rPr>
          <w:rFonts w:hint="eastAsia" w:ascii="宋体" w:hAnsi="宋体"/>
          <w:sz w:val="24"/>
          <w:szCs w:val="24"/>
        </w:rPr>
        <w:t>分钟可调；</w:t>
      </w:r>
    </w:p>
    <w:p>
      <w:pPr>
        <w:tabs>
          <w:tab w:val="left" w:pos="1260"/>
        </w:tabs>
        <w:suppressAutoHyphens/>
        <w:autoSpaceDE w:val="0"/>
        <w:autoSpaceDN w:val="0"/>
        <w:ind w:left="480" w:right="-9" w:hanging="480" w:hangingChars="200"/>
        <w:jc w:val="left"/>
        <w:rPr>
          <w:rFonts w:ascii="宋体" w:hAnsi="宋体"/>
          <w:sz w:val="24"/>
        </w:rPr>
      </w:pPr>
      <w:r>
        <w:rPr>
          <w:rFonts w:ascii="宋体" w:hAnsi="宋体"/>
          <w:sz w:val="24"/>
        </w:rPr>
        <w:t>5</w:t>
      </w:r>
      <w:r>
        <w:rPr>
          <w:rFonts w:hint="eastAsia" w:ascii="宋体" w:hAnsi="宋体"/>
          <w:sz w:val="24"/>
        </w:rPr>
        <w:t>、具有低液位报警及温度保护开关功能；</w:t>
      </w:r>
    </w:p>
    <w:p>
      <w:pPr>
        <w:tabs>
          <w:tab w:val="left" w:pos="1260"/>
        </w:tabs>
        <w:suppressAutoHyphens/>
        <w:autoSpaceDE w:val="0"/>
        <w:autoSpaceDN w:val="0"/>
        <w:ind w:left="480" w:right="-9" w:hanging="480" w:hangingChars="200"/>
        <w:jc w:val="left"/>
        <w:rPr>
          <w:rFonts w:hint="eastAsia" w:ascii="宋体" w:hAnsi="宋体"/>
          <w:sz w:val="24"/>
        </w:rPr>
      </w:pPr>
      <w:r>
        <w:rPr>
          <w:rFonts w:ascii="宋体" w:hAnsi="宋体"/>
          <w:sz w:val="24"/>
        </w:rPr>
        <w:t>6</w:t>
      </w:r>
      <w:r>
        <w:rPr>
          <w:rFonts w:hint="eastAsia" w:ascii="宋体" w:hAnsi="宋体"/>
          <w:sz w:val="24"/>
        </w:rPr>
        <w:t>、设备具有保温功能，保温温度7</w:t>
      </w:r>
      <w:r>
        <w:rPr>
          <w:rFonts w:ascii="宋体" w:hAnsi="宋体"/>
          <w:sz w:val="24"/>
        </w:rPr>
        <w:t>0-90</w:t>
      </w:r>
      <w:r>
        <w:rPr>
          <w:rFonts w:hint="eastAsia" w:ascii="宋体" w:hAnsi="宋体"/>
          <w:sz w:val="24"/>
        </w:rPr>
        <w:t>℃可调；</w:t>
      </w:r>
    </w:p>
    <w:p>
      <w:pPr>
        <w:tabs>
          <w:tab w:val="left" w:pos="1260"/>
        </w:tabs>
        <w:suppressAutoHyphens/>
        <w:autoSpaceDE w:val="0"/>
        <w:autoSpaceDN w:val="0"/>
        <w:ind w:left="480" w:right="-9" w:hanging="480" w:hangingChars="200"/>
        <w:jc w:val="left"/>
        <w:rPr>
          <w:rFonts w:hint="eastAsia" w:ascii="宋体" w:hAnsi="宋体"/>
          <w:sz w:val="24"/>
        </w:rPr>
      </w:pPr>
      <w:r>
        <w:rPr>
          <w:rFonts w:ascii="宋体" w:hAnsi="宋体"/>
          <w:sz w:val="24"/>
        </w:rPr>
        <w:t>7</w:t>
      </w:r>
      <w:r>
        <w:rPr>
          <w:rFonts w:hint="eastAsia" w:ascii="宋体" w:hAnsi="宋体"/>
          <w:sz w:val="24"/>
        </w:rPr>
        <w:t>、温度监测功能，可实时监测体表温度，超过4</w:t>
      </w:r>
      <w:r>
        <w:rPr>
          <w:rFonts w:ascii="宋体" w:hAnsi="宋体"/>
          <w:sz w:val="24"/>
        </w:rPr>
        <w:t>5</w:t>
      </w:r>
      <w:r>
        <w:rPr>
          <w:rFonts w:hint="eastAsia" w:ascii="宋体" w:hAnsi="宋体"/>
          <w:sz w:val="24"/>
        </w:rPr>
        <w:t>℃具有提示音，5</w:t>
      </w:r>
      <w:r>
        <w:rPr>
          <w:rFonts w:ascii="宋体" w:hAnsi="宋体"/>
          <w:sz w:val="24"/>
        </w:rPr>
        <w:t>0</w:t>
      </w:r>
      <w:r>
        <w:rPr>
          <w:rFonts w:hint="eastAsia" w:ascii="宋体" w:hAnsi="宋体"/>
          <w:sz w:val="24"/>
        </w:rPr>
        <w:t>℃切断电源；</w:t>
      </w:r>
    </w:p>
    <w:p>
      <w:pPr>
        <w:spacing w:line="276" w:lineRule="auto"/>
        <w:rPr>
          <w:rFonts w:ascii="宋体" w:hAnsi="宋体"/>
          <w:b/>
          <w:sz w:val="24"/>
          <w:szCs w:val="24"/>
        </w:rPr>
      </w:pPr>
      <w:r>
        <w:rPr>
          <w:rFonts w:ascii="宋体" w:hAnsi="宋体"/>
          <w:sz w:val="24"/>
          <w:szCs w:val="24"/>
        </w:rPr>
        <w:t>8</w:t>
      </w:r>
      <w:r>
        <w:rPr>
          <w:rFonts w:hint="eastAsia" w:ascii="宋体" w:hAnsi="宋体"/>
          <w:sz w:val="24"/>
          <w:szCs w:val="24"/>
        </w:rPr>
        <w:t>、按键操作、治疗结束、预热达到设定温度及缺液时具有声音提示；</w:t>
      </w:r>
    </w:p>
    <w:p>
      <w:pPr>
        <w:spacing w:line="276" w:lineRule="auto"/>
        <w:rPr>
          <w:rFonts w:ascii="宋体" w:hAnsi="宋体"/>
          <w:b/>
          <w:sz w:val="24"/>
          <w:szCs w:val="24"/>
        </w:rPr>
      </w:pPr>
      <w:r>
        <w:rPr>
          <w:rFonts w:ascii="宋体" w:hAnsi="宋体"/>
          <w:sz w:val="24"/>
          <w:szCs w:val="24"/>
        </w:rPr>
        <w:t>9</w:t>
      </w:r>
      <w:r>
        <w:rPr>
          <w:rFonts w:hint="eastAsia" w:ascii="宋体" w:hAnsi="宋体"/>
          <w:sz w:val="24"/>
          <w:szCs w:val="24"/>
        </w:rPr>
        <w:t>、当熏蒸机加热容器中气压大于0.08MPa时，减压阀排气减压；</w:t>
      </w:r>
    </w:p>
    <w:p>
      <w:pPr>
        <w:ind w:left="480" w:hanging="480" w:hangingChars="200"/>
        <w:jc w:val="left"/>
        <w:rPr>
          <w:rFonts w:hint="eastAsia" w:ascii="宋体" w:hAnsi="宋体"/>
          <w:color w:val="000000"/>
          <w:sz w:val="24"/>
        </w:rPr>
      </w:pPr>
      <w:r>
        <w:rPr>
          <w:rFonts w:ascii="宋体" w:hAnsi="宋体"/>
          <w:sz w:val="24"/>
        </w:rPr>
        <w:t>1</w:t>
      </w:r>
      <w:r>
        <w:rPr>
          <w:rFonts w:ascii="宋体" w:hAnsi="宋体"/>
          <w:color w:val="000000"/>
          <w:sz w:val="24"/>
        </w:rPr>
        <w:t>0</w:t>
      </w:r>
      <w:r>
        <w:rPr>
          <w:rFonts w:hint="eastAsia" w:ascii="宋体" w:hAnsi="宋体"/>
          <w:color w:val="000000"/>
          <w:sz w:val="24"/>
        </w:rPr>
        <w:t>、</w:t>
      </w:r>
      <w:r>
        <w:rPr>
          <w:rFonts w:hint="eastAsia" w:ascii="宋体" w:hAnsi="宋体"/>
          <w:sz w:val="24"/>
        </w:rPr>
        <w:t>喷杆关节四轴旋转可调，喷头动作角度万向，</w:t>
      </w:r>
      <w:r>
        <w:rPr>
          <w:rFonts w:hint="eastAsia" w:ascii="宋体" w:hAnsi="宋体"/>
          <w:sz w:val="24"/>
          <w:lang w:val="en-US" w:eastAsia="zh-CN"/>
        </w:rPr>
        <w:t>满足</w:t>
      </w:r>
      <w:r>
        <w:rPr>
          <w:rFonts w:hint="eastAsia" w:ascii="宋体" w:hAnsi="宋体"/>
          <w:sz w:val="24"/>
        </w:rPr>
        <w:t>临床患者坐姿卧姿不同体位的熏蒸需求；</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、设备输入功率：</w:t>
      </w:r>
      <w:r>
        <w:rPr>
          <w:rFonts w:ascii="宋体" w:hAnsi="宋体"/>
          <w:sz w:val="24"/>
          <w:szCs w:val="24"/>
        </w:rPr>
        <w:t>21</w:t>
      </w:r>
      <w:r>
        <w:rPr>
          <w:rFonts w:hint="eastAsia" w:ascii="宋体" w:hAnsi="宋体"/>
          <w:sz w:val="24"/>
          <w:szCs w:val="24"/>
        </w:rPr>
        <w:t>00</w:t>
      </w:r>
      <w:r>
        <w:rPr>
          <w:rFonts w:ascii="宋体" w:hAnsi="宋体"/>
          <w:sz w:val="24"/>
          <w:szCs w:val="24"/>
        </w:rPr>
        <w:t>VA</w:t>
      </w:r>
      <w:r>
        <w:rPr>
          <w:rFonts w:hint="eastAsia" w:ascii="宋体" w:hAnsi="宋体"/>
          <w:sz w:val="24"/>
          <w:szCs w:val="24"/>
        </w:rPr>
        <w:t>；</w:t>
      </w:r>
    </w:p>
    <w:p>
      <w:pPr>
        <w:spacing w:line="276" w:lineRule="auto"/>
        <w:rPr>
          <w:rFonts w:hint="eastAsia"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、额定装药最大容量：5L ；</w:t>
      </w:r>
    </w:p>
    <w:p>
      <w:pPr>
        <w:spacing w:line="276" w:lineRule="auto"/>
        <w:rPr>
          <w:rFonts w:ascii="宋体" w:hAnsi="宋体"/>
          <w:b/>
          <w:sz w:val="24"/>
          <w:szCs w:val="24"/>
        </w:rPr>
      </w:pPr>
      <w:r>
        <w:rPr>
          <w:rFonts w:ascii="宋体" w:hAnsi="宋体"/>
          <w:sz w:val="24"/>
          <w:szCs w:val="24"/>
        </w:rPr>
        <w:t>13</w:t>
      </w:r>
      <w:r>
        <w:rPr>
          <w:rFonts w:hint="eastAsia" w:ascii="宋体" w:hAnsi="宋体"/>
          <w:sz w:val="24"/>
          <w:szCs w:val="24"/>
        </w:rPr>
        <w:t>、</w:t>
      </w:r>
      <w:r>
        <w:rPr>
          <w:rFonts w:hint="eastAsia" w:ascii="宋体" w:hAnsi="宋体"/>
          <w:sz w:val="24"/>
        </w:rPr>
        <w:t>智能</w:t>
      </w:r>
      <w:r>
        <w:rPr>
          <w:rFonts w:hint="eastAsia" w:ascii="宋体" w:hAnsi="宋体"/>
          <w:sz w:val="24"/>
          <w:lang w:val="zh-CN"/>
        </w:rPr>
        <w:t>倒计时</w:t>
      </w:r>
      <w:r>
        <w:rPr>
          <w:rFonts w:hint="eastAsia" w:ascii="宋体" w:hAnsi="宋体"/>
          <w:sz w:val="24"/>
        </w:rPr>
        <w:t>功能</w:t>
      </w:r>
      <w:r>
        <w:rPr>
          <w:rFonts w:hint="eastAsia" w:ascii="宋体" w:hAnsi="宋体"/>
          <w:sz w:val="24"/>
          <w:lang w:val="zh-CN"/>
        </w:rPr>
        <w:t>，药液温度达9</w:t>
      </w:r>
      <w:r>
        <w:rPr>
          <w:rFonts w:ascii="宋体" w:hAnsi="宋体"/>
          <w:sz w:val="24"/>
          <w:lang w:val="zh-CN"/>
        </w:rPr>
        <w:t>7℃开始倒计时</w:t>
      </w:r>
      <w:r>
        <w:rPr>
          <w:rFonts w:hint="eastAsia" w:ascii="宋体" w:hAnsi="宋体"/>
          <w:sz w:val="24"/>
          <w:lang w:val="zh-CN"/>
        </w:rPr>
        <w:t>；</w:t>
      </w:r>
    </w:p>
    <w:p>
      <w:pPr>
        <w:spacing w:line="276" w:lineRule="auto"/>
        <w:ind w:left="480" w:hanging="480" w:hangingChars="200"/>
        <w:rPr>
          <w:rFonts w:ascii="宋体" w:hAnsi="宋体"/>
          <w:b/>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、机箱容器部分和电路显示部分采用分体设计，便于保养和维修,并做到完全隔离；</w:t>
      </w:r>
    </w:p>
    <w:p>
      <w:pPr>
        <w:spacing w:line="276" w:lineRule="auto"/>
        <w:rPr>
          <w:rFonts w:ascii="宋体" w:hAnsi="宋体"/>
          <w:b/>
          <w:sz w:val="24"/>
          <w:szCs w:val="24"/>
        </w:rPr>
      </w:pPr>
      <w:r>
        <w:rPr>
          <w:rFonts w:hint="eastAsia" w:ascii="宋体" w:hAnsi="宋体"/>
          <w:sz w:val="24"/>
          <w:szCs w:val="24"/>
        </w:rPr>
        <w:t>1</w:t>
      </w:r>
      <w:r>
        <w:rPr>
          <w:rFonts w:ascii="宋体" w:hAnsi="宋体"/>
          <w:sz w:val="24"/>
          <w:szCs w:val="24"/>
        </w:rPr>
        <w:t>5</w:t>
      </w:r>
      <w:r>
        <w:rPr>
          <w:rFonts w:hint="eastAsia" w:ascii="宋体" w:hAnsi="宋体"/>
          <w:sz w:val="24"/>
          <w:szCs w:val="24"/>
        </w:rPr>
        <w:t>、</w:t>
      </w:r>
      <w:r>
        <w:rPr>
          <w:rFonts w:ascii="宋体" w:hAnsi="宋体"/>
          <w:sz w:val="24"/>
          <w:szCs w:val="24"/>
        </w:rPr>
        <w:t>采用气路、液路防阻塞设计及工艺</w:t>
      </w:r>
      <w:r>
        <w:rPr>
          <w:rFonts w:hint="eastAsia" w:ascii="宋体" w:hAnsi="宋体"/>
          <w:sz w:val="24"/>
          <w:szCs w:val="24"/>
        </w:rPr>
        <w:t>；</w:t>
      </w:r>
    </w:p>
    <w:p>
      <w:pPr>
        <w:spacing w:line="276" w:lineRule="auto"/>
        <w:rPr>
          <w:rFonts w:ascii="宋体" w:hAnsi="宋体"/>
          <w:b/>
          <w:sz w:val="24"/>
          <w:szCs w:val="24"/>
        </w:rPr>
      </w:pPr>
      <w:r>
        <w:rPr>
          <w:rFonts w:hint="eastAsia" w:ascii="宋体" w:hAnsi="宋体"/>
          <w:sz w:val="24"/>
          <w:szCs w:val="24"/>
        </w:rPr>
        <w:t>1</w:t>
      </w:r>
      <w:r>
        <w:rPr>
          <w:rFonts w:ascii="宋体" w:hAnsi="宋体"/>
          <w:sz w:val="24"/>
          <w:szCs w:val="24"/>
        </w:rPr>
        <w:t>6</w:t>
      </w:r>
      <w:r>
        <w:rPr>
          <w:rFonts w:hint="eastAsia" w:ascii="宋体" w:hAnsi="宋体"/>
          <w:sz w:val="24"/>
          <w:szCs w:val="24"/>
        </w:rPr>
        <w:t>、</w:t>
      </w:r>
      <w:r>
        <w:rPr>
          <w:rFonts w:ascii="宋体" w:hAnsi="宋体"/>
          <w:sz w:val="24"/>
          <w:szCs w:val="24"/>
        </w:rPr>
        <w:t>采用直径达16mm排液管路,确保排液方便快捷不阻塞</w:t>
      </w:r>
      <w:r>
        <w:rPr>
          <w:rFonts w:hint="eastAsia" w:ascii="宋体" w:hAnsi="宋体"/>
          <w:sz w:val="24"/>
          <w:szCs w:val="24"/>
        </w:rPr>
        <w:t>，</w:t>
      </w:r>
      <w:r>
        <w:rPr>
          <w:rFonts w:ascii="宋体" w:hAnsi="宋体"/>
          <w:sz w:val="24"/>
          <w:szCs w:val="24"/>
        </w:rPr>
        <w:t>便于维护</w:t>
      </w:r>
      <w:r>
        <w:rPr>
          <w:rFonts w:hint="eastAsia" w:ascii="宋体" w:hAnsi="宋体"/>
          <w:sz w:val="24"/>
          <w:szCs w:val="24"/>
        </w:rPr>
        <w:t>；</w:t>
      </w:r>
    </w:p>
    <w:p>
      <w:pPr>
        <w:spacing w:line="276" w:lineRule="auto"/>
        <w:rPr>
          <w:rFonts w:ascii="宋体" w:hAnsi="宋体"/>
          <w:b/>
          <w:sz w:val="24"/>
          <w:szCs w:val="24"/>
        </w:rPr>
      </w:pPr>
      <w:r>
        <w:rPr>
          <w:rFonts w:hint="eastAsia" w:ascii="宋体" w:hAnsi="宋体"/>
          <w:sz w:val="24"/>
          <w:szCs w:val="24"/>
        </w:rPr>
        <w:t>1</w:t>
      </w:r>
      <w:r>
        <w:rPr>
          <w:rFonts w:ascii="宋体" w:hAnsi="宋体"/>
          <w:sz w:val="24"/>
          <w:szCs w:val="24"/>
        </w:rPr>
        <w:t>7</w:t>
      </w:r>
      <w:r>
        <w:rPr>
          <w:rFonts w:hint="eastAsia" w:ascii="宋体" w:hAnsi="宋体"/>
          <w:sz w:val="24"/>
          <w:szCs w:val="24"/>
        </w:rPr>
        <w:t>、</w:t>
      </w:r>
      <w:r>
        <w:rPr>
          <w:rFonts w:ascii="宋体" w:hAnsi="宋体"/>
          <w:sz w:val="24"/>
          <w:szCs w:val="24"/>
        </w:rPr>
        <w:t>外置气路过滤器，方便清洁维护</w:t>
      </w:r>
      <w:r>
        <w:rPr>
          <w:rFonts w:hint="eastAsia" w:ascii="宋体" w:hAnsi="宋体"/>
          <w:sz w:val="24"/>
          <w:szCs w:val="24"/>
        </w:rPr>
        <w:t>；</w:t>
      </w:r>
    </w:p>
    <w:p>
      <w:pPr>
        <w:spacing w:line="276" w:lineRule="auto"/>
        <w:ind w:left="480" w:hanging="480" w:hangingChars="200"/>
        <w:rPr>
          <w:rFonts w:ascii="宋体" w:hAnsi="宋体" w:cs="宋体"/>
          <w:kern w:val="0"/>
          <w:sz w:val="24"/>
          <w:szCs w:val="24"/>
        </w:rPr>
      </w:pPr>
      <w:r>
        <w:rPr>
          <w:rFonts w:ascii="宋体" w:hAnsi="宋体" w:cs="宋体"/>
          <w:kern w:val="0"/>
          <w:sz w:val="24"/>
          <w:szCs w:val="24"/>
        </w:rPr>
        <w:t>18</w:t>
      </w:r>
      <w:r>
        <w:rPr>
          <w:rFonts w:hint="eastAsia" w:ascii="宋体" w:hAnsi="宋体" w:cs="宋体"/>
          <w:kern w:val="0"/>
          <w:sz w:val="24"/>
          <w:szCs w:val="24"/>
        </w:rPr>
        <w:t>、</w:t>
      </w:r>
      <w:r>
        <w:rPr>
          <w:rFonts w:ascii="宋体" w:hAnsi="宋体" w:cs="宋体"/>
          <w:kern w:val="0"/>
          <w:sz w:val="24"/>
          <w:szCs w:val="24"/>
        </w:rPr>
        <w:t>入选国家中医药管理局“中医诊疗设备评估选型推荐品目”，提供国家中医局文件为准</w:t>
      </w:r>
      <w:r>
        <w:rPr>
          <w:rFonts w:hint="eastAsia" w:ascii="宋体" w:hAnsi="宋体" w:cs="宋体"/>
          <w:kern w:val="0"/>
          <w:sz w:val="24"/>
          <w:szCs w:val="24"/>
        </w:rPr>
        <w:t>；</w:t>
      </w:r>
    </w:p>
    <w:p>
      <w:pPr>
        <w:pStyle w:val="8"/>
        <w:rPr>
          <w:rFonts w:hint="eastAsia"/>
          <w:lang w:val="en-US" w:eastAsia="zh-CN"/>
        </w:rPr>
      </w:pPr>
      <w:r>
        <w:rPr>
          <w:rFonts w:ascii="宋体" w:hAnsi="宋体" w:cs="宋体"/>
          <w:color w:val="000000"/>
          <w:kern w:val="0"/>
          <w:sz w:val="24"/>
          <w:szCs w:val="24"/>
        </w:rPr>
        <w:t>19</w:t>
      </w:r>
      <w:r>
        <w:rPr>
          <w:rFonts w:hint="eastAsia" w:ascii="宋体" w:hAnsi="宋体" w:cs="宋体"/>
          <w:color w:val="000000"/>
          <w:kern w:val="0"/>
          <w:sz w:val="24"/>
          <w:szCs w:val="24"/>
        </w:rPr>
        <w:t>、箱体及排气装置（提供相关证书）、注塑箱体结构（提供相关证书）；</w:t>
      </w:r>
    </w:p>
    <w:p>
      <w:pPr>
        <w:ind w:left="-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pPr>
        <w:ind w:left="-2"/>
        <w:rPr>
          <w:rFonts w:hint="eastAsia" w:ascii="宋体" w:hAnsi="宋体" w:eastAsia="宋体" w:cs="宋体"/>
          <w:b/>
          <w:bCs/>
          <w:color w:val="auto"/>
          <w:sz w:val="24"/>
          <w:szCs w:val="24"/>
          <w:highlight w:val="none"/>
          <w:lang w:val="en-US" w:eastAsia="zh-CN"/>
        </w:rPr>
      </w:pPr>
    </w:p>
    <w:p>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（二）商务条款</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1、设备质量标准</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向</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提供的设备应符合下列标准：</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保证所提供的均为原厂未经使用的全新产品</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b/>
          <w:bCs/>
          <w:i w:val="0"/>
          <w:iCs w:val="0"/>
          <w:color w:val="auto"/>
          <w:sz w:val="24"/>
          <w:szCs w:val="24"/>
          <w:highlight w:val="none"/>
          <w:lang w:eastAsia="zh-CN"/>
        </w:rPr>
        <w:t>设备出厂日期在</w:t>
      </w:r>
      <w:r>
        <w:rPr>
          <w:rFonts w:hint="eastAsia" w:asciiTheme="minorEastAsia" w:hAnsiTheme="minorEastAsia" w:eastAsiaTheme="minorEastAsia" w:cstheme="minorEastAsia"/>
          <w:b/>
          <w:bCs/>
          <w:i w:val="0"/>
          <w:iCs w:val="0"/>
          <w:color w:val="auto"/>
          <w:sz w:val="24"/>
          <w:szCs w:val="24"/>
          <w:highlight w:val="none"/>
          <w:lang w:val="en-US" w:eastAsia="zh-CN"/>
        </w:rPr>
        <w:t>6个月内的产品</w:t>
      </w:r>
      <w:r>
        <w:rPr>
          <w:rFonts w:hint="eastAsia" w:asciiTheme="minorEastAsia" w:hAnsiTheme="minorEastAsia" w:eastAsiaTheme="minorEastAsia" w:cstheme="minorEastAsia"/>
          <w:i w:val="0"/>
          <w:iCs w:val="0"/>
          <w:color w:val="auto"/>
          <w:sz w:val="24"/>
          <w:szCs w:val="24"/>
          <w:highlight w:val="none"/>
        </w:rPr>
        <w:t>。</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1.2、质量要求符合国家及行业所规定的性质及质量的标准。</w:t>
      </w:r>
    </w:p>
    <w:p>
      <w:pPr>
        <w:spacing w:line="240" w:lineRule="auto"/>
        <w:ind w:left="0" w:leftChars="0" w:firstLine="420" w:firstLineChars="175"/>
        <w:rPr>
          <w:rFonts w:hint="eastAsia" w:asciiTheme="minorEastAsia" w:hAnsiTheme="minorEastAsia" w:eastAsiaTheme="minorEastAsia" w:cstheme="minorEastAsia"/>
          <w:b/>
          <w:bCs/>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w:t>
      </w:r>
      <w:r>
        <w:rPr>
          <w:rFonts w:hint="eastAsia" w:ascii="宋体" w:hAnsi="宋体" w:eastAsia="宋体" w:cs="宋体"/>
          <w:sz w:val="24"/>
          <w:szCs w:val="24"/>
          <w:highlight w:val="none"/>
          <w:lang w:val="en-US" w:eastAsia="zh-CN"/>
        </w:rPr>
        <w:t>合同履行期限：</w:t>
      </w:r>
      <w:r>
        <w:rPr>
          <w:rFonts w:hint="eastAsia" w:asciiTheme="minorEastAsia" w:hAnsiTheme="minorEastAsia" w:eastAsiaTheme="minorEastAsia" w:cstheme="minorEastAsia"/>
          <w:i w:val="0"/>
          <w:iCs w:val="0"/>
          <w:color w:val="auto"/>
          <w:sz w:val="24"/>
          <w:szCs w:val="24"/>
          <w:highlight w:val="none"/>
        </w:rPr>
        <w:t>中标签订合同后</w:t>
      </w:r>
      <w:r>
        <w:rPr>
          <w:rFonts w:hint="eastAsia" w:asciiTheme="minorEastAsia" w:hAnsiTheme="minorEastAsia" w:eastAsiaTheme="minorEastAsia" w:cstheme="minorEastAsia"/>
          <w:i w:val="0"/>
          <w:iCs w:val="0"/>
          <w:color w:val="auto"/>
          <w:sz w:val="24"/>
          <w:szCs w:val="24"/>
          <w:highlight w:val="none"/>
          <w:lang w:val="en-US" w:eastAsia="zh-CN"/>
        </w:rPr>
        <w:t>15</w:t>
      </w:r>
      <w:r>
        <w:rPr>
          <w:rFonts w:hint="eastAsia" w:asciiTheme="minorEastAsia" w:hAnsiTheme="minorEastAsia" w:eastAsiaTheme="minorEastAsia" w:cstheme="minorEastAsia"/>
          <w:i w:val="0"/>
          <w:iCs w:val="0"/>
          <w:color w:val="auto"/>
          <w:sz w:val="24"/>
          <w:szCs w:val="24"/>
          <w:highlight w:val="none"/>
        </w:rPr>
        <w:t>日内设备到达</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指定地点</w:t>
      </w:r>
      <w:r>
        <w:rPr>
          <w:rFonts w:hint="eastAsia" w:asciiTheme="minorEastAsia" w:hAnsiTheme="minorEastAsia" w:eastAsiaTheme="minorEastAsia" w:cstheme="minorEastAsia"/>
          <w:b/>
          <w:bCs/>
          <w:i w:val="0"/>
          <w:iCs w:val="0"/>
          <w:color w:val="auto"/>
          <w:sz w:val="24"/>
          <w:szCs w:val="24"/>
          <w:highlight w:val="none"/>
          <w:lang w:val="en-US" w:eastAsia="zh-CN"/>
        </w:rPr>
        <w:t>。</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3、安装、调试与验收</w:t>
      </w:r>
      <w:r>
        <w:rPr>
          <w:rFonts w:hint="eastAsia" w:asciiTheme="minorEastAsia" w:hAnsiTheme="minorEastAsia" w:eastAsiaTheme="minorEastAsia" w:cstheme="minorEastAsia"/>
          <w:i w:val="0"/>
          <w:iCs w:val="0"/>
          <w:color w:val="auto"/>
          <w:sz w:val="24"/>
          <w:szCs w:val="24"/>
          <w:highlight w:val="none"/>
          <w:lang w:val="en-US" w:eastAsia="zh-CN"/>
        </w:rPr>
        <w:t xml:space="preserve"> </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3.1、安装方式：</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负责安装，安装后免费调试、培训。</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3.2、由</w:t>
      </w:r>
      <w:r>
        <w:rPr>
          <w:rFonts w:hint="eastAsia" w:asciiTheme="minorEastAsia" w:hAnsiTheme="minorEastAsia" w:eastAsiaTheme="minorEastAsia" w:cstheme="minorEastAsia"/>
          <w:i w:val="0"/>
          <w:iCs w:val="0"/>
          <w:color w:val="auto"/>
          <w:sz w:val="24"/>
          <w:szCs w:val="24"/>
          <w:highlight w:val="none"/>
          <w:lang w:val="en-US" w:eastAsia="zh-CN"/>
        </w:rPr>
        <w:t>采购人</w:t>
      </w: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供应商</w:t>
      </w:r>
      <w:r>
        <w:rPr>
          <w:rFonts w:hint="eastAsia" w:asciiTheme="minorEastAsia" w:hAnsiTheme="minorEastAsia" w:eastAsiaTheme="minorEastAsia" w:cstheme="minorEastAsia"/>
          <w:i w:val="0"/>
          <w:iCs w:val="0"/>
          <w:color w:val="auto"/>
          <w:sz w:val="24"/>
          <w:szCs w:val="24"/>
          <w:highlight w:val="none"/>
        </w:rPr>
        <w:t>双方协商安装日期，</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于安装日派安装技术人员自带安装所需工具到达安装地点。</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3.3、安装完毕，由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安装检验人员检验、调试、验收合格之后，再通知</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共同验收。验收合格通过即表示安装调试结束。</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4、售后服务及质保期： </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4.1、一级经销商提供日常维修服务，同时制造商原厂人员进行技术支援；</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yellow"/>
        </w:rPr>
      </w:pPr>
      <w:r>
        <w:rPr>
          <w:rFonts w:hint="eastAsia" w:asciiTheme="minorEastAsia" w:hAnsiTheme="minorEastAsia" w:eastAsiaTheme="minorEastAsia" w:cstheme="minorEastAsia"/>
          <w:i w:val="0"/>
          <w:iCs w:val="0"/>
          <w:color w:val="auto"/>
          <w:sz w:val="24"/>
          <w:szCs w:val="24"/>
          <w:highlight w:val="none"/>
        </w:rPr>
        <w:t>4.2、设备发生故障时，接到</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通知后2小时内服务响应、48小时内解决故障。质保期内发生的一切费用由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承担，终身维修；</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4.3、设备提供质保期为设备验收合格后</w:t>
      </w:r>
      <w:r>
        <w:rPr>
          <w:rFonts w:hint="eastAsia" w:asciiTheme="minorEastAsia" w:hAnsiTheme="minorEastAsia" w:eastAsiaTheme="minorEastAsia" w:cstheme="minorEastAsia"/>
          <w:i w:val="0"/>
          <w:iCs w:val="0"/>
          <w:color w:val="auto"/>
          <w:sz w:val="24"/>
          <w:szCs w:val="24"/>
          <w:highlight w:val="none"/>
          <w:lang w:val="en-US" w:eastAsia="zh-CN"/>
        </w:rPr>
        <w:t>24</w:t>
      </w:r>
      <w:r>
        <w:rPr>
          <w:rFonts w:hint="eastAsia" w:asciiTheme="minorEastAsia" w:hAnsiTheme="minorEastAsia" w:eastAsiaTheme="minorEastAsia" w:cstheme="minorEastAsia"/>
          <w:i w:val="0"/>
          <w:iCs w:val="0"/>
          <w:color w:val="auto"/>
          <w:sz w:val="24"/>
          <w:szCs w:val="24"/>
          <w:highlight w:val="none"/>
        </w:rPr>
        <w:t>个月，质保期内免费上门服务及技术支持，终身维护、保养；</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4.4、在质保期内，</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提供更换或维护服务，由此发生的费用由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4.5、质保期期满后，</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继续为采购人提供维护服务，由此发生的相关服务和备品备件费用</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本着微利服务的原则，只收取配件费用其他费用均由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4.6、在保修期内，凡在正常使用中出现质量问题的，</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负责免费维修，其维修人员的差旅、食宿等费用和维修所产生的货物包装和往返运费等费用均由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pPr>
        <w:spacing w:line="240" w:lineRule="auto"/>
        <w:ind w:left="0" w:leftChars="0" w:firstLine="420" w:firstLineChars="175"/>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rPr>
        <w:t>5、付款方式</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b/>
          <w:bCs/>
          <w:i w:val="0"/>
          <w:iCs w:val="0"/>
          <w:color w:val="auto"/>
          <w:sz w:val="24"/>
          <w:szCs w:val="24"/>
          <w:highlight w:val="none"/>
        </w:rPr>
        <w:t>设备到安装调试验收合格后付设备总价的</w:t>
      </w:r>
      <w:r>
        <w:rPr>
          <w:rFonts w:hint="eastAsia" w:asciiTheme="minorEastAsia" w:hAnsiTheme="minorEastAsia" w:eastAsiaTheme="minorEastAsia" w:cstheme="minorEastAsia"/>
          <w:b/>
          <w:bCs/>
          <w:i w:val="0"/>
          <w:iCs w:val="0"/>
          <w:color w:val="auto"/>
          <w:sz w:val="24"/>
          <w:szCs w:val="24"/>
          <w:highlight w:val="none"/>
          <w:lang w:val="en-US" w:eastAsia="zh-CN"/>
        </w:rPr>
        <w:t>95</w:t>
      </w:r>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bCs/>
          <w:i w:val="0"/>
          <w:iCs w:val="0"/>
          <w:color w:val="auto"/>
          <w:sz w:val="24"/>
          <w:szCs w:val="24"/>
          <w:highlight w:val="none"/>
          <w:lang w:val="en-US" w:eastAsia="zh-CN"/>
        </w:rPr>
        <w:t>12个月</w:t>
      </w:r>
      <w:r>
        <w:rPr>
          <w:rFonts w:hint="eastAsia" w:asciiTheme="minorEastAsia" w:hAnsiTheme="minorEastAsia" w:eastAsiaTheme="minorEastAsia" w:cstheme="minorEastAsia"/>
          <w:b/>
          <w:bCs/>
          <w:i w:val="0"/>
          <w:iCs w:val="0"/>
          <w:color w:val="auto"/>
          <w:sz w:val="24"/>
          <w:szCs w:val="24"/>
          <w:highlight w:val="none"/>
        </w:rPr>
        <w:t>后付设备总价的</w:t>
      </w:r>
      <w:r>
        <w:rPr>
          <w:rFonts w:hint="eastAsia" w:asciiTheme="minorEastAsia" w:hAnsiTheme="minorEastAsia" w:eastAsiaTheme="minorEastAsia" w:cstheme="minorEastAsia"/>
          <w:b/>
          <w:bCs/>
          <w:i w:val="0"/>
          <w:iCs w:val="0"/>
          <w:color w:val="auto"/>
          <w:sz w:val="24"/>
          <w:szCs w:val="24"/>
          <w:highlight w:val="none"/>
          <w:lang w:val="en-US" w:eastAsia="zh-CN"/>
        </w:rPr>
        <w:t>5</w:t>
      </w:r>
      <w:bookmarkStart w:id="87" w:name="_GoBack"/>
      <w:bookmarkEnd w:id="87"/>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bCs/>
          <w:i w:val="0"/>
          <w:iCs w:val="0"/>
          <w:color w:val="auto"/>
          <w:sz w:val="24"/>
          <w:szCs w:val="24"/>
          <w:highlight w:val="none"/>
          <w:lang w:val="en-US" w:eastAsia="zh-CN"/>
        </w:rPr>
        <w:t>。</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6、</w:t>
      </w:r>
      <w:r>
        <w:rPr>
          <w:rFonts w:hint="eastAsia" w:asciiTheme="minorEastAsia" w:hAnsiTheme="minorEastAsia" w:eastAsiaTheme="minorEastAsia" w:cstheme="minorEastAsia"/>
          <w:i w:val="0"/>
          <w:iCs w:val="0"/>
          <w:color w:val="auto"/>
          <w:sz w:val="24"/>
          <w:szCs w:val="24"/>
          <w:highlight w:val="none"/>
        </w:rPr>
        <w:t>交货地点</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rPr>
        <w:t>安装地点</w:t>
      </w:r>
      <w:r>
        <w:rPr>
          <w:rFonts w:hint="eastAsia" w:asciiTheme="minorEastAsia" w:hAnsiTheme="minorEastAsia" w:eastAsiaTheme="minorEastAsia" w:cstheme="minorEastAsia"/>
          <w:i w:val="0"/>
          <w:iCs w:val="0"/>
          <w:color w:val="auto"/>
          <w:sz w:val="24"/>
          <w:szCs w:val="24"/>
          <w:highlight w:val="none"/>
          <w:lang w:eastAsia="zh-CN"/>
        </w:rPr>
        <w:t>：广丰区中医院院内。</w:t>
      </w:r>
    </w:p>
    <w:p>
      <w:pPr>
        <w:spacing w:line="240" w:lineRule="auto"/>
        <w:rPr>
          <w:rFonts w:hint="eastAsia" w:ascii="宋体" w:hAnsi="宋体" w:eastAsia="宋体" w:cs="宋体"/>
          <w:sz w:val="24"/>
          <w:szCs w:val="24"/>
          <w:highlight w:val="none"/>
          <w:lang w:val="en-US" w:eastAsia="zh-CN"/>
        </w:rPr>
      </w:pPr>
    </w:p>
    <w:p>
      <w:pPr>
        <w:spacing w:line="240" w:lineRule="auto"/>
        <w:ind w:left="-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注：上述商务条</w:t>
      </w:r>
      <w:r>
        <w:rPr>
          <w:rFonts w:hint="eastAsia" w:ascii="宋体" w:hAnsi="宋体" w:eastAsia="宋体" w:cs="宋体"/>
          <w:b/>
          <w:bCs/>
          <w:color w:val="auto"/>
          <w:sz w:val="24"/>
          <w:szCs w:val="24"/>
          <w:highlight w:val="none"/>
          <w:lang w:val="en-US" w:eastAsia="zh-CN"/>
        </w:rPr>
        <w:t>款</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pPr>
        <w:spacing w:line="240" w:lineRule="auto"/>
        <w:rPr>
          <w:rFonts w:hint="eastAsia" w:ascii="宋体" w:hAnsi="宋体" w:eastAsia="宋体" w:cs="宋体"/>
          <w:color w:val="auto"/>
          <w:sz w:val="24"/>
          <w:szCs w:val="24"/>
          <w:highlight w:val="none"/>
        </w:rPr>
      </w:pPr>
    </w:p>
    <w:sectPr>
      <w:footerReference r:id="rId9" w:type="default"/>
      <w:pgSz w:w="11906" w:h="16838"/>
      <w:pgMar w:top="1474" w:right="1312" w:bottom="1474" w:left="1134"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21</w:t>
    </w:r>
    <w:r>
      <w:rPr>
        <w:rStyle w:val="29"/>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22</w:t>
    </w:r>
    <w:r>
      <w:rPr>
        <w:rStyle w:val="29"/>
      </w:rPr>
      <w:fldChar w:fldCharType="end"/>
    </w:r>
  </w:p>
  <w:p>
    <w:pPr>
      <w:pStyle w:val="17"/>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XXXIII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XXXIII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123"/>
      <w:jc w:val="right"/>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XXXVII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XXXVII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38</w:t>
    </w:r>
    <w:r>
      <w:rPr>
        <w:rStyle w:val="29"/>
      </w:rPr>
      <w:fldChar w:fldCharType="end"/>
    </w:r>
  </w:p>
  <w:p>
    <w:pPr>
      <w:pStyle w:val="17"/>
      <w:ind w:right="360"/>
      <w:jc w:val="cen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DDE90"/>
    <w:multiLevelType w:val="singleLevel"/>
    <w:tmpl w:val="90DDDE90"/>
    <w:lvl w:ilvl="0" w:tentative="0">
      <w:start w:val="1"/>
      <w:numFmt w:val="chineseCounting"/>
      <w:suff w:val="nothing"/>
      <w:lvlText w:val="第%1章　"/>
      <w:lvlJc w:val="left"/>
      <w:rPr>
        <w:rFonts w:hint="eastAsia"/>
      </w:rPr>
    </w:lvl>
  </w:abstractNum>
  <w:abstractNum w:abstractNumId="1">
    <w:nsid w:val="AD25939D"/>
    <w:multiLevelType w:val="singleLevel"/>
    <w:tmpl w:val="AD25939D"/>
    <w:lvl w:ilvl="0" w:tentative="0">
      <w:start w:val="6"/>
      <w:numFmt w:val="chineseCounting"/>
      <w:suff w:val="nothing"/>
      <w:lvlText w:val="%1、"/>
      <w:lvlJc w:val="left"/>
      <w:rPr>
        <w:rFonts w:hint="eastAsia"/>
      </w:rPr>
    </w:lvl>
  </w:abstractNum>
  <w:abstractNum w:abstractNumId="2">
    <w:nsid w:val="DD330B2A"/>
    <w:multiLevelType w:val="singleLevel"/>
    <w:tmpl w:val="DD330B2A"/>
    <w:lvl w:ilvl="0" w:tentative="0">
      <w:start w:val="3"/>
      <w:numFmt w:val="decimal"/>
      <w:suff w:val="nothing"/>
      <w:lvlText w:val="%1、"/>
      <w:lvlJc w:val="left"/>
    </w:lvl>
  </w:abstractNum>
  <w:abstractNum w:abstractNumId="3">
    <w:nsid w:val="16112E78"/>
    <w:multiLevelType w:val="multilevel"/>
    <w:tmpl w:val="16112E78"/>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5">
    <w:nsid w:val="75FCC47E"/>
    <w:multiLevelType w:val="singleLevel"/>
    <w:tmpl w:val="75FCC47E"/>
    <w:lvl w:ilvl="0" w:tentative="0">
      <w:start w:val="2"/>
      <w:numFmt w:val="decimal"/>
      <w:lvlText w:val="%1."/>
      <w:lvlJc w:val="left"/>
      <w:pPr>
        <w:tabs>
          <w:tab w:val="left" w:pos="312"/>
        </w:tabs>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NjZkNDBlOWU4ZjYyOWIxMDU1YTIwNjhmOGNmMjAifQ=="/>
  </w:docVars>
  <w:rsids>
    <w:rsidRoot w:val="00000000"/>
    <w:rsid w:val="5BFC1093"/>
    <w:rsid w:val="62C55EF2"/>
    <w:rsid w:val="7B0C0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0"/>
    <w:pPr>
      <w:keepNext/>
      <w:outlineLvl w:val="0"/>
    </w:pPr>
    <w:rPr>
      <w:rFonts w:ascii="宋体"/>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ind w:left="1260"/>
      <w:jc w:val="left"/>
    </w:pPr>
    <w:rPr>
      <w:sz w:val="18"/>
      <w:szCs w:val="18"/>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autoSpaceDE w:val="0"/>
      <w:autoSpaceDN w:val="0"/>
      <w:adjustRightInd w:val="0"/>
      <w:spacing w:line="360" w:lineRule="auto"/>
      <w:ind w:firstLine="480"/>
      <w:jc w:val="left"/>
    </w:pPr>
    <w:rPr>
      <w:rFonts w:ascii="宋体" w:hAnsi="宋体"/>
      <w:kern w:val="0"/>
      <w:sz w:val="24"/>
    </w:rPr>
  </w:style>
  <w:style w:type="paragraph" w:styleId="10">
    <w:name w:val="toc 5"/>
    <w:basedOn w:val="1"/>
    <w:next w:val="1"/>
    <w:semiHidden/>
    <w:qFormat/>
    <w:uiPriority w:val="0"/>
    <w:pPr>
      <w:ind w:left="840"/>
      <w:jc w:val="left"/>
    </w:pPr>
    <w:rPr>
      <w:sz w:val="18"/>
      <w:szCs w:val="18"/>
    </w:rPr>
  </w:style>
  <w:style w:type="paragraph" w:styleId="11">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12">
    <w:name w:val="Plain Text"/>
    <w:basedOn w:val="1"/>
    <w:qFormat/>
    <w:uiPriority w:val="0"/>
    <w:pPr>
      <w:spacing w:line="360" w:lineRule="auto"/>
    </w:pPr>
    <w:rPr>
      <w:rFonts w:ascii="楷体_GB2312" w:hAnsi="Courier New" w:eastAsia="楷体_GB2312"/>
      <w:sz w:val="24"/>
    </w:rPr>
  </w:style>
  <w:style w:type="paragraph" w:styleId="13">
    <w:name w:val="toc 8"/>
    <w:basedOn w:val="1"/>
    <w:next w:val="1"/>
    <w:semiHidden/>
    <w:qFormat/>
    <w:uiPriority w:val="0"/>
    <w:pPr>
      <w:ind w:left="1470"/>
      <w:jc w:val="left"/>
    </w:pPr>
    <w:rPr>
      <w:sz w:val="18"/>
      <w:szCs w:val="18"/>
    </w:rPr>
  </w:style>
  <w:style w:type="paragraph" w:styleId="14">
    <w:name w:val="Date"/>
    <w:basedOn w:val="1"/>
    <w:next w:val="1"/>
    <w:link w:val="35"/>
    <w:qFormat/>
    <w:uiPriority w:val="0"/>
    <w:rPr>
      <w:sz w:val="28"/>
    </w:rPr>
  </w:style>
  <w:style w:type="paragraph" w:styleId="15">
    <w:name w:val="Body Text Indent 2"/>
    <w:basedOn w:val="1"/>
    <w:link w:val="34"/>
    <w:qFormat/>
    <w:uiPriority w:val="0"/>
    <w:pPr>
      <w:spacing w:after="120" w:line="480" w:lineRule="auto"/>
      <w:ind w:left="420" w:leftChars="200"/>
    </w:pPr>
  </w:style>
  <w:style w:type="paragraph" w:styleId="16">
    <w:name w:val="Balloon Text"/>
    <w:basedOn w:val="1"/>
    <w:link w:val="42"/>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hyphen" w:pos="9629"/>
      </w:tabs>
      <w:spacing w:line="320" w:lineRule="exact"/>
      <w:jc w:val="left"/>
    </w:pPr>
    <w:rPr>
      <w:rFonts w:ascii="宋体" w:hAnsi="宋体"/>
      <w:b/>
      <w:bCs/>
      <w:caps/>
      <w:szCs w:val="21"/>
    </w:rPr>
  </w:style>
  <w:style w:type="paragraph" w:styleId="20">
    <w:name w:val="toc 4"/>
    <w:basedOn w:val="1"/>
    <w:next w:val="1"/>
    <w:semiHidden/>
    <w:qFormat/>
    <w:uiPriority w:val="0"/>
    <w:pPr>
      <w:ind w:left="630"/>
      <w:jc w:val="left"/>
    </w:pPr>
    <w:rPr>
      <w:sz w:val="18"/>
      <w:szCs w:val="18"/>
    </w:rPr>
  </w:style>
  <w:style w:type="paragraph" w:styleId="21">
    <w:name w:val="toc 6"/>
    <w:basedOn w:val="1"/>
    <w:next w:val="1"/>
    <w:semiHidden/>
    <w:qFormat/>
    <w:uiPriority w:val="0"/>
    <w:pPr>
      <w:ind w:left="1050"/>
      <w:jc w:val="left"/>
    </w:pPr>
    <w:rPr>
      <w:sz w:val="18"/>
      <w:szCs w:val="18"/>
    </w:rPr>
  </w:style>
  <w:style w:type="paragraph" w:styleId="22">
    <w:name w:val="toc 2"/>
    <w:basedOn w:val="1"/>
    <w:next w:val="1"/>
    <w:qFormat/>
    <w:uiPriority w:val="39"/>
    <w:pPr>
      <w:tabs>
        <w:tab w:val="right" w:leader="hyphen" w:pos="9639"/>
      </w:tabs>
      <w:spacing w:line="320" w:lineRule="exact"/>
      <w:ind w:left="210"/>
      <w:jc w:val="left"/>
    </w:pPr>
    <w:rPr>
      <w:smallCaps/>
      <w:sz w:val="20"/>
    </w:rPr>
  </w:style>
  <w:style w:type="paragraph" w:styleId="23">
    <w:name w:val="toc 9"/>
    <w:basedOn w:val="1"/>
    <w:next w:val="1"/>
    <w:semiHidden/>
    <w:qFormat/>
    <w:uiPriority w:val="0"/>
    <w:pPr>
      <w:ind w:left="1680"/>
      <w:jc w:val="left"/>
    </w:pPr>
    <w:rPr>
      <w:sz w:val="18"/>
      <w:szCs w:val="18"/>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5">
    <w:name w:val="Body Text First Indent"/>
    <w:basedOn w:val="8"/>
    <w:qFormat/>
    <w:uiPriority w:val="0"/>
    <w:pPr>
      <w:ind w:firstLine="100" w:firstLineChars="100"/>
    </w:pPr>
    <w:rPr>
      <w:szCs w:val="24"/>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basedOn w:val="28"/>
    <w:qFormat/>
    <w:uiPriority w:val="99"/>
    <w:rPr>
      <w:color w:val="0000FF"/>
      <w:u w:val="single"/>
    </w:rPr>
  </w:style>
  <w:style w:type="character" w:styleId="31">
    <w:name w:val="annotation reference"/>
    <w:basedOn w:val="28"/>
    <w:qFormat/>
    <w:uiPriority w:val="0"/>
    <w:rPr>
      <w:sz w:val="21"/>
      <w:szCs w:val="21"/>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Char"/>
    <w:basedOn w:val="1"/>
    <w:qFormat/>
    <w:uiPriority w:val="0"/>
    <w:rPr>
      <w:rFonts w:ascii="FangSong_GB2312" w:eastAsia="FangSong_GB2312"/>
      <w:b/>
      <w:sz w:val="32"/>
      <w:szCs w:val="32"/>
    </w:rPr>
  </w:style>
  <w:style w:type="character" w:customStyle="1" w:styleId="34">
    <w:name w:val="正文文本缩进 2 Char"/>
    <w:basedOn w:val="28"/>
    <w:link w:val="15"/>
    <w:qFormat/>
    <w:uiPriority w:val="0"/>
    <w:rPr>
      <w:kern w:val="2"/>
      <w:sz w:val="21"/>
    </w:rPr>
  </w:style>
  <w:style w:type="character" w:customStyle="1" w:styleId="35">
    <w:name w:val="日期 Char"/>
    <w:basedOn w:val="28"/>
    <w:link w:val="14"/>
    <w:qFormat/>
    <w:uiPriority w:val="0"/>
    <w:rPr>
      <w:kern w:val="2"/>
      <w:sz w:val="28"/>
    </w:rPr>
  </w:style>
  <w:style w:type="paragraph" w:customStyle="1" w:styleId="36">
    <w:name w:val="List Paragraph"/>
    <w:basedOn w:val="1"/>
    <w:qFormat/>
    <w:uiPriority w:val="34"/>
    <w:pPr>
      <w:ind w:firstLine="420" w:firstLineChars="200"/>
    </w:pPr>
    <w:rPr>
      <w:szCs w:val="24"/>
    </w:rPr>
  </w:style>
  <w:style w:type="character" w:customStyle="1" w:styleId="37">
    <w:name w:val="标题 1 Char"/>
    <w:link w:val="2"/>
    <w:qFormat/>
    <w:uiPriority w:val="0"/>
    <w:rPr>
      <w:rFonts w:ascii="宋体"/>
      <w:kern w:val="2"/>
      <w:sz w:val="28"/>
    </w:rPr>
  </w:style>
  <w:style w:type="paragraph" w:customStyle="1" w:styleId="3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9">
    <w:name w:val="Body text|1"/>
    <w:basedOn w:val="1"/>
    <w:qFormat/>
    <w:uiPriority w:val="0"/>
    <w:pPr>
      <w:spacing w:after="80" w:line="276" w:lineRule="auto"/>
    </w:pPr>
    <w:rPr>
      <w:rFonts w:ascii="宋体" w:hAnsi="宋体" w:cs="宋体"/>
      <w:lang w:val="zh-TW" w:eastAsia="zh-TW" w:bidi="zh-TW"/>
    </w:rPr>
  </w:style>
  <w:style w:type="paragraph" w:customStyle="1" w:styleId="40">
    <w:name w:val="Body text|2"/>
    <w:basedOn w:val="1"/>
    <w:qFormat/>
    <w:uiPriority w:val="0"/>
    <w:pPr>
      <w:spacing w:after="80" w:line="328" w:lineRule="exact"/>
    </w:pPr>
    <w:rPr>
      <w:sz w:val="22"/>
      <w:szCs w:val="22"/>
      <w:lang w:val="zh-TW" w:eastAsia="zh-TW" w:bidi="zh-TW"/>
    </w:rPr>
  </w:style>
  <w:style w:type="paragraph" w:customStyle="1" w:styleId="41">
    <w:name w:val="case3"/>
    <w:basedOn w:val="1"/>
    <w:qFormat/>
    <w:uiPriority w:val="0"/>
    <w:pPr>
      <w:widowControl/>
      <w:spacing w:before="100" w:beforeAutospacing="1" w:after="100" w:afterAutospacing="1" w:line="390" w:lineRule="atLeast"/>
      <w:jc w:val="left"/>
    </w:pPr>
    <w:rPr>
      <w:color w:val="000000"/>
      <w:kern w:val="0"/>
      <w:szCs w:val="21"/>
    </w:rPr>
  </w:style>
  <w:style w:type="character" w:customStyle="1" w:styleId="42">
    <w:name w:val="批注框文本 Char"/>
    <w:basedOn w:val="28"/>
    <w:link w:val="16"/>
    <w:qFormat/>
    <w:uiPriority w:val="0"/>
    <w:rPr>
      <w:rFonts w:eastAsia="宋体"/>
      <w:kern w:val="2"/>
      <w:sz w:val="18"/>
      <w:szCs w:val="18"/>
    </w:rPr>
  </w:style>
  <w:style w:type="paragraph" w:customStyle="1" w:styleId="43">
    <w:name w:val="Body text|92"/>
    <w:link w:val="45"/>
    <w:qFormat/>
    <w:uiPriority w:val="0"/>
    <w:pPr>
      <w:widowControl w:val="0"/>
      <w:shd w:val="clear" w:color="auto" w:fill="FFFFFF"/>
      <w:spacing w:before="200" w:after="520" w:line="320" w:lineRule="exact"/>
    </w:pPr>
    <w:rPr>
      <w:rFonts w:ascii="PMingLiU" w:hAnsi="PMingLiU" w:eastAsia="PMingLiU" w:cs="PMingLiU"/>
      <w:sz w:val="32"/>
      <w:szCs w:val="32"/>
      <w:u w:val="none"/>
    </w:rPr>
  </w:style>
  <w:style w:type="character" w:customStyle="1" w:styleId="44">
    <w:name w:val="Body text|91"/>
    <w:basedOn w:val="45"/>
    <w:unhideWhenUsed/>
    <w:qFormat/>
    <w:uiPriority w:val="0"/>
    <w:rPr>
      <w:color w:val="000000"/>
      <w:spacing w:val="0"/>
      <w:w w:val="100"/>
      <w:position w:val="0"/>
      <w:shd w:val="clear" w:color="auto" w:fill="FFFFFF"/>
      <w:lang w:val="zh-CN" w:eastAsia="zh-CN" w:bidi="zh-CN"/>
    </w:rPr>
  </w:style>
  <w:style w:type="character" w:customStyle="1" w:styleId="45">
    <w:name w:val="Body text|9_"/>
    <w:basedOn w:val="28"/>
    <w:link w:val="43"/>
    <w:qFormat/>
    <w:uiPriority w:val="0"/>
    <w:rPr>
      <w:rFonts w:ascii="PMingLiU" w:hAnsi="PMingLiU" w:eastAsia="PMingLiU" w:cs="PMingLiU"/>
      <w:sz w:val="32"/>
      <w:szCs w:val="32"/>
      <w:u w:val="none"/>
    </w:rPr>
  </w:style>
  <w:style w:type="paragraph" w:customStyle="1" w:styleId="46">
    <w:name w:val="Body text|21"/>
    <w:basedOn w:val="1"/>
    <w:link w:val="47"/>
    <w:qFormat/>
    <w:uiPriority w:val="0"/>
    <w:pPr>
      <w:widowControl w:val="0"/>
      <w:shd w:val="clear" w:color="auto" w:fill="FFFFFF"/>
      <w:spacing w:before="220" w:line="180" w:lineRule="exact"/>
      <w:ind w:hanging="300"/>
      <w:jc w:val="distribute"/>
    </w:pPr>
    <w:rPr>
      <w:rFonts w:ascii="PMingLiU" w:hAnsi="PMingLiU" w:eastAsia="PMingLiU" w:cs="PMingLiU"/>
      <w:sz w:val="18"/>
      <w:szCs w:val="18"/>
      <w:u w:val="none"/>
    </w:rPr>
  </w:style>
  <w:style w:type="character" w:customStyle="1" w:styleId="47">
    <w:name w:val="Body text|2_"/>
    <w:basedOn w:val="28"/>
    <w:link w:val="46"/>
    <w:qFormat/>
    <w:uiPriority w:val="0"/>
    <w:rPr>
      <w:rFonts w:ascii="PMingLiU" w:hAnsi="PMingLiU" w:eastAsia="PMingLiU" w:cs="PMingLiU"/>
      <w:sz w:val="18"/>
      <w:szCs w:val="18"/>
      <w:u w:val="none"/>
    </w:rPr>
  </w:style>
  <w:style w:type="character" w:customStyle="1" w:styleId="48">
    <w:name w:val="Body text|2 + Arial"/>
    <w:basedOn w:val="47"/>
    <w:unhideWhenUsed/>
    <w:qFormat/>
    <w:uiPriority w:val="0"/>
    <w:rPr>
      <w:rFonts w:ascii="Arial" w:hAnsi="Arial" w:eastAsia="Arial" w:cs="Arial"/>
      <w:b/>
      <w:bCs/>
      <w:color w:val="000000"/>
      <w:spacing w:val="10"/>
      <w:w w:val="100"/>
      <w:position w:val="0"/>
      <w:lang w:val="en-US" w:eastAsia="en-US" w:bidi="en-US"/>
    </w:rPr>
  </w:style>
  <w:style w:type="character" w:customStyle="1" w:styleId="49">
    <w:name w:val="def"/>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江西省机电设备招标公司</Company>
  <Pages>22</Pages>
  <Words>7556</Words>
  <Characters>7796</Characters>
  <Lines>48</Lines>
  <Paragraphs>53</Paragraphs>
  <TotalTime>21</TotalTime>
  <ScaleCrop>false</ScaleCrop>
  <LinksUpToDate>false</LinksUpToDate>
  <CharactersWithSpaces>8626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2019-04-04T20:36:00Z</dcterms:created>
  <dc:creator>hxw</dc:creator>
  <cp:lastModifiedBy>Administrator</cp:lastModifiedBy>
  <cp:lastPrinted>2023-01-11T18:33:00Z</cp:lastPrinted>
  <dcterms:modified xsi:type="dcterms:W3CDTF">2023-12-08T07:10:06Z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17978491AE1C40CE917985299015A982_13</vt:lpwstr>
  </property>
</Properties>
</file>